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000"/>
        </w:tabs>
        <w:spacing w:after="0"/>
        <w:rPr>
          <w:rFonts w:ascii="Arial" w:hAnsi="Arial" w:eastAsia="宋体" w:cs="Arial"/>
          <w:b/>
          <w:bCs/>
          <w:sz w:val="22"/>
          <w:szCs w:val="32"/>
        </w:rPr>
      </w:pPr>
      <w:r>
        <w:rPr>
          <w:rFonts w:ascii="Arial" w:hAnsi="Arial" w:eastAsia="MS Mincho" w:cs="Arial"/>
          <w:b/>
          <w:bCs/>
          <w:sz w:val="22"/>
          <w:szCs w:val="32"/>
          <w:lang w:eastAsia="ja-JP"/>
        </w:rPr>
        <w:t>3GPP TSG RAN WG1 #11</w:t>
      </w:r>
      <w:r>
        <w:rPr>
          <w:rFonts w:hint="eastAsia" w:ascii="Arial" w:hAnsi="Arial" w:eastAsia="宋体" w:cs="Arial"/>
          <w:b/>
          <w:bCs/>
          <w:sz w:val="22"/>
          <w:szCs w:val="32"/>
        </w:rPr>
        <w:t>5</w:t>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ascii="Arial" w:hAnsi="Arial" w:eastAsia="MS Mincho" w:cs="Arial"/>
          <w:b/>
          <w:bCs/>
          <w:sz w:val="22"/>
          <w:szCs w:val="32"/>
          <w:lang w:eastAsia="ja-JP"/>
        </w:rPr>
        <w:tab/>
      </w:r>
      <w:r>
        <w:rPr>
          <w:rFonts w:ascii="Arial" w:hAnsi="Arial" w:eastAsia="MS Mincho" w:cs="Arial"/>
          <w:b/>
          <w:bCs/>
          <w:sz w:val="22"/>
          <w:szCs w:val="32"/>
          <w:lang w:eastAsia="ja-JP"/>
        </w:rPr>
        <w:t xml:space="preserve">      R1-</w:t>
      </w:r>
      <w:r>
        <w:rPr>
          <w:rFonts w:hint="default" w:ascii="Arial" w:hAnsi="Arial" w:eastAsia="MS Mincho" w:cs="Arial"/>
          <w:b/>
          <w:bCs/>
          <w:sz w:val="22"/>
          <w:szCs w:val="32"/>
          <w:lang w:eastAsia="ja-JP"/>
        </w:rPr>
        <w:t>2311663</w:t>
      </w:r>
    </w:p>
    <w:p>
      <w:pPr>
        <w:tabs>
          <w:tab w:val="center" w:pos="4536"/>
          <w:tab w:val="right" w:pos="8600"/>
        </w:tabs>
        <w:spacing w:after="0"/>
        <w:rPr>
          <w:rFonts w:ascii="Arial" w:hAnsi="Arial" w:eastAsia="MS Mincho" w:cs="Arial"/>
          <w:b/>
          <w:bCs/>
          <w:sz w:val="22"/>
          <w:szCs w:val="32"/>
          <w:lang w:eastAsia="ja-JP"/>
        </w:rPr>
      </w:pPr>
      <w:r>
        <w:rPr>
          <w:rFonts w:ascii="Arial" w:hAnsi="Arial" w:eastAsia="MS Mincho" w:cs="Arial"/>
          <w:b/>
          <w:bCs/>
          <w:sz w:val="22"/>
          <w:szCs w:val="32"/>
          <w:lang w:eastAsia="ja-JP"/>
        </w:rPr>
        <w:t>Chicago, USA, November 13th – November 17th, 2023</w:t>
      </w:r>
    </w:p>
    <w:p>
      <w:pPr>
        <w:tabs>
          <w:tab w:val="center" w:pos="4536"/>
          <w:tab w:val="right" w:pos="9072"/>
        </w:tabs>
        <w:spacing w:after="0"/>
        <w:rPr>
          <w:rFonts w:ascii="Arial" w:hAnsi="Arial" w:eastAsia="MS Mincho" w:cs="Arial"/>
          <w:b/>
          <w:bCs/>
          <w:sz w:val="22"/>
          <w:szCs w:val="32"/>
          <w:lang w:eastAsia="ja-JP"/>
        </w:rPr>
      </w:pPr>
    </w:p>
    <w:p>
      <w:pPr>
        <w:pStyle w:val="44"/>
        <w:spacing w:after="0"/>
        <w:rPr>
          <w:rFonts w:ascii="Arial" w:hAnsi="Arial" w:eastAsia="宋体" w:cs="Arial"/>
          <w:sz w:val="22"/>
          <w:szCs w:val="22"/>
        </w:rPr>
      </w:pPr>
      <w:r>
        <w:rPr>
          <w:rFonts w:ascii="Arial" w:hAnsi="Arial" w:cs="Arial"/>
          <w:sz w:val="22"/>
          <w:szCs w:val="22"/>
        </w:rPr>
        <w:t>Agenda Item:</w:t>
      </w:r>
      <w:r>
        <w:rPr>
          <w:rFonts w:ascii="Arial" w:hAnsi="Arial" w:cs="Arial"/>
          <w:sz w:val="22"/>
          <w:szCs w:val="22"/>
        </w:rPr>
        <w:tab/>
      </w:r>
      <w:r>
        <w:rPr>
          <w:rFonts w:hint="eastAsia" w:ascii="Arial" w:hAnsi="Arial" w:eastAsia="宋体" w:cs="Arial"/>
          <w:sz w:val="22"/>
          <w:szCs w:val="22"/>
        </w:rPr>
        <w:t>5</w:t>
      </w:r>
    </w:p>
    <w:p>
      <w:pPr>
        <w:pStyle w:val="44"/>
        <w:spacing w:after="0"/>
        <w:rPr>
          <w:rFonts w:ascii="Arial" w:hAnsi="Arial" w:cs="Arial"/>
          <w:sz w:val="22"/>
          <w:szCs w:val="22"/>
        </w:rPr>
      </w:pPr>
      <w:r>
        <w:rPr>
          <w:rFonts w:ascii="Arial" w:hAnsi="Arial" w:cs="Arial"/>
          <w:sz w:val="22"/>
          <w:szCs w:val="22"/>
        </w:rPr>
        <w:t>Source:</w:t>
      </w:r>
      <w:r>
        <w:rPr>
          <w:rFonts w:ascii="Arial" w:hAnsi="Arial" w:cs="Arial"/>
          <w:sz w:val="22"/>
          <w:szCs w:val="22"/>
        </w:rPr>
        <w:tab/>
      </w:r>
      <w:r>
        <w:rPr>
          <w:rFonts w:ascii="Arial" w:hAnsi="Arial" w:cs="Arial"/>
          <w:sz w:val="22"/>
          <w:szCs w:val="22"/>
        </w:rPr>
        <w:t>Apple</w:t>
      </w:r>
    </w:p>
    <w:p>
      <w:pPr>
        <w:pStyle w:val="44"/>
        <w:tabs>
          <w:tab w:val="left" w:pos="0"/>
          <w:tab w:val="clear" w:pos="1701"/>
        </w:tabs>
        <w:spacing w:after="0"/>
        <w:ind w:left="1710" w:hanging="1710"/>
        <w:rPr>
          <w:rFonts w:ascii="Arial" w:hAnsi="Arial" w:eastAsia="宋体" w:cs="Arial"/>
          <w:sz w:val="22"/>
          <w:szCs w:val="22"/>
        </w:rPr>
      </w:pPr>
      <w:r>
        <w:rPr>
          <w:rFonts w:ascii="Arial" w:hAnsi="Arial" w:cs="Arial"/>
          <w:sz w:val="22"/>
          <w:szCs w:val="22"/>
        </w:rPr>
        <w:t>Title:</w:t>
      </w:r>
      <w:r>
        <w:rPr>
          <w:rFonts w:ascii="Arial" w:hAnsi="Arial" w:cs="Arial"/>
          <w:sz w:val="22"/>
          <w:szCs w:val="22"/>
        </w:rPr>
        <w:tab/>
      </w:r>
      <w:r>
        <w:rPr>
          <w:rFonts w:hint="eastAsia" w:ascii="Arial" w:hAnsi="Arial" w:eastAsia="宋体" w:cs="Arial"/>
          <w:sz w:val="22"/>
          <w:szCs w:val="22"/>
        </w:rPr>
        <w:t>Discu</w:t>
      </w:r>
      <w:r>
        <w:rPr>
          <w:rFonts w:ascii="Arial" w:hAnsi="Arial" w:eastAsia="宋体" w:cs="Arial"/>
          <w:sz w:val="22"/>
          <w:szCs w:val="22"/>
        </w:rPr>
        <w:t>ssions on RAN2 LS on NES CHO</w:t>
      </w:r>
    </w:p>
    <w:p>
      <w:pPr>
        <w:pStyle w:val="44"/>
        <w:spacing w:after="0"/>
        <w:rPr>
          <w:rFonts w:ascii="Arial" w:hAnsi="Arial" w:cs="Arial"/>
          <w:sz w:val="22"/>
          <w:szCs w:val="22"/>
        </w:rPr>
      </w:pPr>
      <w:r>
        <w:rPr>
          <w:rFonts w:ascii="Arial" w:hAnsi="Arial" w:cs="Arial"/>
          <w:sz w:val="22"/>
          <w:szCs w:val="22"/>
        </w:rPr>
        <w:t>Document for:</w:t>
      </w:r>
      <w:r>
        <w:rPr>
          <w:rFonts w:ascii="Arial" w:hAnsi="Arial" w:cs="Arial"/>
          <w:sz w:val="22"/>
          <w:szCs w:val="22"/>
        </w:rPr>
        <w:tab/>
      </w:r>
      <w:r>
        <w:rPr>
          <w:rFonts w:ascii="Arial" w:hAnsi="Arial" w:cs="Arial"/>
          <w:sz w:val="22"/>
          <w:szCs w:val="22"/>
        </w:rPr>
        <w:t>Discussion/Decision</w:t>
      </w:r>
    </w:p>
    <w:p>
      <w:pPr>
        <w:pStyle w:val="2"/>
        <w:jc w:val="both"/>
      </w:pPr>
      <w:r>
        <w:t xml:space="preserve"> Introduction</w:t>
      </w:r>
    </w:p>
    <w:p>
      <w:pPr>
        <w:jc w:val="both"/>
      </w:pPr>
      <w:r>
        <w:t xml:space="preserve">In R1-2311002 (R2-2311589) [1], RAN2 sent an LS to RAN1 on specifying signaling support corresponding to the RAN2 agreement related to CHO enhancement. </w:t>
      </w:r>
    </w:p>
    <w:p>
      <w:pPr>
        <w:pStyle w:val="120"/>
        <w:pBdr>
          <w:top w:val="single" w:color="auto" w:sz="4" w:space="1"/>
          <w:left w:val="single" w:color="auto" w:sz="4" w:space="4"/>
          <w:bottom w:val="single" w:color="auto" w:sz="4" w:space="1"/>
          <w:right w:val="single" w:color="auto" w:sz="4" w:space="4"/>
        </w:pBdr>
        <w:rPr>
          <w:b/>
          <w:bCs/>
        </w:rPr>
      </w:pPr>
      <w:r>
        <w:rPr>
          <w:b/>
          <w:bCs/>
        </w:rPr>
        <w:t>Agreements</w:t>
      </w:r>
    </w:p>
    <w:p>
      <w:pPr>
        <w:pStyle w:val="120"/>
        <w:pBdr>
          <w:top w:val="single" w:color="auto" w:sz="4" w:space="1"/>
          <w:left w:val="single" w:color="auto" w:sz="4" w:space="4"/>
          <w:bottom w:val="single" w:color="auto" w:sz="4" w:space="1"/>
          <w:right w:val="single" w:color="auto" w:sz="4" w:space="4"/>
        </w:pBdr>
      </w:pPr>
      <w:r>
        <w:t>Group common DCI format 2-X is reused to notify the UE that source cell is entering NES mode.</w:t>
      </w:r>
    </w:p>
    <w:p>
      <w:pPr>
        <w:pStyle w:val="120"/>
        <w:pBdr>
          <w:top w:val="single" w:color="auto" w:sz="4" w:space="1"/>
          <w:left w:val="single" w:color="auto" w:sz="4" w:space="4"/>
          <w:bottom w:val="single" w:color="auto" w:sz="4" w:space="1"/>
          <w:right w:val="single" w:color="auto" w:sz="4" w:space="4"/>
        </w:pBdr>
        <w:rPr>
          <w:rFonts w:cs="Arial"/>
        </w:rPr>
      </w:pPr>
      <w:r>
        <w:t>•</w:t>
      </w:r>
      <w:r>
        <w:tab/>
      </w:r>
      <w:r>
        <w:t xml:space="preserve">add one bit of DCI 2-X to trigger both use cases of Cell DTX/DRX activation and </w:t>
      </w:r>
      <w:r>
        <w:rPr>
          <w:rFonts w:cs="Arial"/>
        </w:rPr>
        <w:t>cell turning off. RAN2 send LS to RAN1 to request this signaling change.</w:t>
      </w:r>
    </w:p>
    <w:p>
      <w:pPr>
        <w:jc w:val="both"/>
      </w:pPr>
      <w:r>
        <w:t xml:space="preserve">The intention of the additional one bit (instead of reusing Cell DTX/DRX activation indication in DCI 2-X) is to decouple CHO enhancement for NES from Cell DTX/DRX activation. </w:t>
      </w:r>
    </w:p>
    <w:p>
      <w:pPr>
        <w:jc w:val="both"/>
      </w:pPr>
      <w:r>
        <w:t xml:space="preserve">In this contribution, we discuss on the design details and corresponding TPs for the CHO enhancement. </w:t>
      </w:r>
    </w:p>
    <w:p>
      <w:pPr>
        <w:pStyle w:val="2"/>
        <w:jc w:val="both"/>
      </w:pPr>
      <w:r>
        <w:t xml:space="preserve"> DCI format 2_9 to support CHO indication</w:t>
      </w:r>
    </w:p>
    <w:p>
      <w:pPr>
        <w:jc w:val="both"/>
        <w:rPr>
          <w:szCs w:val="20"/>
        </w:rPr>
      </w:pPr>
      <w:r>
        <w:rPr>
          <w:szCs w:val="20"/>
        </w:rPr>
        <w:t xml:space="preserve">In the current DCI format 2_9 structure, multiple blocks are configured and each block is used to indicate the activation/deactivation of cell DTX/DRX patterns for the corresponding serving cell. </w:t>
      </w:r>
    </w:p>
    <w:p>
      <w:pPr>
        <w:jc w:val="both"/>
        <w:rPr>
          <w:szCs w:val="20"/>
        </w:rPr>
      </w:pPr>
      <w:r>
        <w:rPr>
          <w:szCs w:val="20"/>
        </w:rPr>
        <w:t>CHO will only be configured for PCell. However, since the UE only monitors DCI format 2_9 in one serving cell</w:t>
      </w:r>
      <w:r>
        <w:rPr>
          <w:rFonts w:hint="default"/>
          <w:szCs w:val="20"/>
          <w:lang w:val="en-US"/>
        </w:rPr>
        <w:t>, this cell</w:t>
      </w:r>
      <w:r>
        <w:rPr>
          <w:szCs w:val="20"/>
        </w:rPr>
        <w:t xml:space="preserve"> might not be its PCell. So basically, UE needs to be indicated for a position in the DCI to monitor for the CHO indication corresponding to its PCell. From network perspective, since this is a group common signaling, there will still be multiple blocks configured for the CHO indication. </w:t>
      </w:r>
    </w:p>
    <w:p>
      <w:pPr>
        <w:keepNext w:val="0"/>
        <w:keepLines w:val="0"/>
        <w:widowControl/>
        <w:suppressLineNumbers w:val="0"/>
        <w:jc w:val="left"/>
        <w:rPr>
          <w:rFonts w:ascii="Times New Roman Bold" w:hAnsi="Times New Roman Bold" w:cs="Times New Roman Bold"/>
          <w:b/>
          <w:bCs/>
          <w:szCs w:val="20"/>
        </w:rPr>
      </w:pPr>
      <w:r>
        <w:rPr>
          <w:rFonts w:ascii="Times New Roman Bold" w:hAnsi="Times New Roman Bold" w:cs="Times New Roman Bold"/>
          <w:b/>
          <w:bCs/>
          <w:szCs w:val="20"/>
        </w:rPr>
        <w:t xml:space="preserve">Observation: </w:t>
      </w:r>
      <w:r>
        <w:rPr>
          <w:rFonts w:hint="eastAsia" w:ascii="Times New Roman Bold" w:hAnsi="Times New Roman Bold" w:cs="Times New Roman Bold"/>
          <w:b/>
          <w:bCs/>
          <w:szCs w:val="20"/>
        </w:rPr>
        <w:t>Alt</w:t>
      </w:r>
      <w:r>
        <w:rPr>
          <w:rFonts w:ascii="Times New Roman Bold" w:hAnsi="Times New Roman Bold" w:cs="Times New Roman Bold"/>
          <w:b/>
          <w:bCs/>
          <w:szCs w:val="20"/>
        </w:rPr>
        <w:t xml:space="preserve">hough </w:t>
      </w:r>
      <w:r>
        <w:rPr>
          <w:b/>
          <w:bCs/>
          <w:szCs w:val="20"/>
        </w:rPr>
        <w:t>CHO can only be configured in PCell</w:t>
      </w:r>
      <w:r>
        <w:rPr>
          <w:rStyle w:val="55"/>
          <w:rFonts w:hint="default" w:ascii="Times New Roman" w:hAnsi="Times New Roman" w:eastAsia="Helvetica" w:cs="Times New Roman"/>
          <w:b/>
          <w:bCs/>
          <w:i w:val="0"/>
          <w:iCs w:val="0"/>
          <w:caps w:val="0"/>
          <w:color w:val="auto"/>
          <w:spacing w:val="0"/>
          <w:kern w:val="0"/>
          <w:sz w:val="20"/>
          <w:szCs w:val="20"/>
          <w:u w:val="none"/>
          <w:lang w:val="en-US" w:eastAsia="zh-CN" w:bidi="ar"/>
        </w:rPr>
        <w:t> </w:t>
      </w:r>
      <w:r>
        <w:rPr>
          <w:rFonts w:hint="default" w:ascii="Times New Roman" w:hAnsi="Times New Roman" w:eastAsia="Helvetica" w:cs="Times New Roman"/>
          <w:b/>
          <w:bCs/>
          <w:i w:val="0"/>
          <w:iCs w:val="0"/>
          <w:caps w:val="0"/>
          <w:color w:val="auto"/>
          <w:spacing w:val="0"/>
          <w:kern w:val="0"/>
          <w:sz w:val="20"/>
          <w:szCs w:val="20"/>
          <w:u w:val="none"/>
          <w:lang w:val="en-US" w:eastAsia="zh-CN" w:bidi="ar"/>
        </w:rPr>
        <w:t>(</w:t>
      </w:r>
      <w:r>
        <w:rPr>
          <w:rFonts w:hint="default" w:ascii="Times New Roman" w:hAnsi="Times New Roman" w:eastAsia="Helvetica" w:cs="Times New Roman"/>
          <w:b/>
          <w:bCs/>
          <w:i/>
          <w:iCs/>
          <w:caps w:val="0"/>
          <w:color w:val="auto"/>
          <w:spacing w:val="0"/>
          <w:kern w:val="0"/>
          <w:sz w:val="20"/>
          <w:szCs w:val="20"/>
          <w:u w:val="none"/>
          <w:lang w:val="en-US" w:eastAsia="zh-CN" w:bidi="ar"/>
        </w:rPr>
        <w:t>ServCellIndex</w:t>
      </w:r>
      <w:r>
        <w:rPr>
          <w:rFonts w:hint="default" w:ascii="Times New Roman" w:hAnsi="Times New Roman" w:eastAsia="Helvetica" w:cs="Times New Roman"/>
          <w:b/>
          <w:bCs/>
          <w:i w:val="0"/>
          <w:iCs w:val="0"/>
          <w:caps w:val="0"/>
          <w:color w:val="auto"/>
          <w:spacing w:val="0"/>
          <w:kern w:val="0"/>
          <w:sz w:val="20"/>
          <w:szCs w:val="20"/>
          <w:u w:val="none"/>
          <w:lang w:val="en-US" w:eastAsia="zh-CN" w:bidi="ar"/>
        </w:rPr>
        <w:t> is 0 according to TS 38.331)</w:t>
      </w:r>
      <w:r>
        <w:rPr>
          <w:b/>
          <w:bCs/>
          <w:szCs w:val="20"/>
        </w:rPr>
        <w:t>, the serving cell where UE is monitoring the DCI format 2_9 might not be its PCell because the UE only monitors DCI format 2_9 in one serving cell. Thus, UE needs to be indicated for a position in the DCI to monitor for the CHO indication corresponding to its PCell.</w:t>
      </w:r>
    </w:p>
    <w:p>
      <w:pPr>
        <w:jc w:val="both"/>
        <w:rPr>
          <w:szCs w:val="20"/>
        </w:rPr>
      </w:pPr>
    </w:p>
    <w:p>
      <w:pPr>
        <w:jc w:val="both"/>
        <w:rPr>
          <w:szCs w:val="20"/>
        </w:rPr>
      </w:pPr>
      <w:r>
        <w:rPr>
          <w:szCs w:val="20"/>
        </w:rPr>
        <w:t>There are two alternatives to be considered:</w:t>
      </w:r>
    </w:p>
    <w:p>
      <w:pPr>
        <w:jc w:val="both"/>
        <w:rPr>
          <w:szCs w:val="20"/>
        </w:rPr>
      </w:pPr>
      <w:r>
        <w:rPr>
          <w:szCs w:val="20"/>
        </w:rPr>
        <w:t xml:space="preserve">Alt 1: The one bit for CHO indication is added in each block to indicate that the corresponding serving cell is entering NES mode. The starting position </w:t>
      </w:r>
      <w:r>
        <w:rPr>
          <w:rFonts w:ascii="Times New Roman Italic" w:hAnsi="Times New Roman Italic" w:cs="Times New Roman Italic"/>
          <w:i/>
          <w:iCs/>
          <w:szCs w:val="20"/>
        </w:rPr>
        <w:t xml:space="preserve">positionInDCI-cellDTRX </w:t>
      </w:r>
      <w:r>
        <w:rPr>
          <w:szCs w:val="20"/>
        </w:rPr>
        <w:t xml:space="preserve">for cell DTX/DRX bits per serving cell is reused for CHO indication. </w:t>
      </w:r>
    </w:p>
    <w:p>
      <w:pPr>
        <w:jc w:val="both"/>
      </w:pPr>
      <w:r>
        <w:drawing>
          <wp:inline distT="0" distB="0" distL="114300" distR="114300">
            <wp:extent cx="5725795" cy="1303655"/>
            <wp:effectExtent l="0" t="0" r="14605" b="1778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9"/>
                    <pic:cNvPicPr>
                      <a:picLocks noChangeAspect="1"/>
                    </pic:cNvPicPr>
                  </pic:nvPicPr>
                  <pic:blipFill>
                    <a:blip r:embed="rId5"/>
                    <a:stretch>
                      <a:fillRect/>
                    </a:stretch>
                  </pic:blipFill>
                  <pic:spPr>
                    <a:xfrm>
                      <a:off x="0" y="0"/>
                      <a:ext cx="5725795" cy="1303655"/>
                    </a:xfrm>
                    <a:prstGeom prst="rect">
                      <a:avLst/>
                    </a:prstGeom>
                    <a:noFill/>
                    <a:ln>
                      <a:noFill/>
                    </a:ln>
                  </pic:spPr>
                </pic:pic>
              </a:graphicData>
            </a:graphic>
          </wp:inline>
        </w:drawing>
      </w:r>
    </w:p>
    <w:p>
      <w:pPr>
        <w:jc w:val="center"/>
      </w:pPr>
      <w:r>
        <w:t>Fig. 1 Illustration of adding CHO bit in each block for cell DTX/DRX (Alt 1)</w:t>
      </w:r>
    </w:p>
    <w:p>
      <w:pPr>
        <w:jc w:val="both"/>
      </w:pPr>
    </w:p>
    <w:p>
      <w:pPr>
        <w:jc w:val="both"/>
        <w:rPr>
          <w:szCs w:val="20"/>
        </w:rPr>
      </w:pPr>
      <w:r>
        <w:rPr>
          <w:szCs w:val="20"/>
        </w:rPr>
        <w:t xml:space="preserve">Alt 2: Introduce another set of blocks in DCI format 2_9 for CHO indication, and each block indicates the corresponding serving cell is entering NES mode. A new starting position </w:t>
      </w:r>
      <w:r>
        <w:rPr>
          <w:rFonts w:ascii="Times New Roman Italic" w:hAnsi="Times New Roman Italic" w:cs="Times New Roman Italic"/>
          <w:i/>
          <w:iCs/>
          <w:szCs w:val="20"/>
        </w:rPr>
        <w:t>positionInDCI-CHO</w:t>
      </w:r>
      <w:r>
        <w:rPr>
          <w:szCs w:val="20"/>
        </w:rPr>
        <w:t xml:space="preserve"> per serving cell should be introduced for the CHO indication. </w:t>
      </w:r>
    </w:p>
    <w:p>
      <w:pPr>
        <w:jc w:val="both"/>
      </w:pPr>
      <w:r>
        <w:drawing>
          <wp:inline distT="0" distB="0" distL="114300" distR="114300">
            <wp:extent cx="5723890" cy="1181100"/>
            <wp:effectExtent l="0" t="0" r="0" b="1270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0"/>
                    <pic:cNvPicPr>
                      <a:picLocks noChangeAspect="1"/>
                    </pic:cNvPicPr>
                  </pic:nvPicPr>
                  <pic:blipFill>
                    <a:blip r:embed="rId6"/>
                    <a:stretch>
                      <a:fillRect/>
                    </a:stretch>
                  </pic:blipFill>
                  <pic:spPr>
                    <a:xfrm>
                      <a:off x="0" y="0"/>
                      <a:ext cx="5723890" cy="1181100"/>
                    </a:xfrm>
                    <a:prstGeom prst="rect">
                      <a:avLst/>
                    </a:prstGeom>
                    <a:noFill/>
                    <a:ln>
                      <a:noFill/>
                    </a:ln>
                  </pic:spPr>
                </pic:pic>
              </a:graphicData>
            </a:graphic>
          </wp:inline>
        </w:drawing>
      </w:r>
    </w:p>
    <w:p>
      <w:pPr>
        <w:jc w:val="center"/>
      </w:pPr>
      <w:r>
        <w:t>Fig. 2 Illustration of adding CHO bit in separate blocks (Alt 2)</w:t>
      </w:r>
    </w:p>
    <w:p>
      <w:pPr>
        <w:jc w:val="both"/>
        <w:rPr>
          <w:rFonts w:ascii="Times New Roman Bold" w:hAnsi="Times New Roman Bold" w:cs="Times New Roman Bold"/>
          <w:b/>
          <w:bCs/>
          <w:szCs w:val="20"/>
        </w:rPr>
      </w:pPr>
      <w:r>
        <w:rPr>
          <w:rFonts w:ascii="Times New Roman Bold" w:hAnsi="Times New Roman Bold" w:cs="Times New Roman Bold"/>
          <w:b/>
          <w:bCs/>
          <w:szCs w:val="20"/>
        </w:rPr>
        <w:t xml:space="preserve">Proposal 1: The following alternatives can be considered to support CHO indication in DCI format 2_9: </w:t>
      </w:r>
    </w:p>
    <w:p>
      <w:pPr>
        <w:jc w:val="both"/>
        <w:rPr>
          <w:b/>
          <w:bCs/>
          <w:szCs w:val="20"/>
        </w:rPr>
      </w:pPr>
      <w:r>
        <w:rPr>
          <w:b/>
          <w:bCs/>
          <w:szCs w:val="20"/>
        </w:rPr>
        <w:t xml:space="preserve">Alt 1: The one bit for CHO indication is added in each block of cell DTX/DRX activation/deactivation. The starting position </w:t>
      </w:r>
      <w:r>
        <w:rPr>
          <w:rFonts w:ascii="Times New Roman Bold Italic" w:hAnsi="Times New Roman Bold Italic" w:cs="Times New Roman Bold Italic"/>
          <w:b/>
          <w:bCs/>
          <w:i/>
          <w:iCs/>
          <w:szCs w:val="20"/>
        </w:rPr>
        <w:t>positionInDCI-cellDTRX</w:t>
      </w:r>
      <w:r>
        <w:rPr>
          <w:rFonts w:ascii="Times New Roman Italic" w:hAnsi="Times New Roman Italic" w:cs="Times New Roman Italic"/>
          <w:b/>
          <w:bCs/>
          <w:i/>
          <w:iCs/>
          <w:szCs w:val="20"/>
        </w:rPr>
        <w:t xml:space="preserve"> </w:t>
      </w:r>
      <w:r>
        <w:rPr>
          <w:b/>
          <w:bCs/>
          <w:szCs w:val="20"/>
        </w:rPr>
        <w:t xml:space="preserve">for cell DTX/DRX bits per serving cell is reused for CHO indication. </w:t>
      </w:r>
    </w:p>
    <w:p>
      <w:pPr>
        <w:jc w:val="both"/>
        <w:rPr>
          <w:szCs w:val="20"/>
        </w:rPr>
      </w:pPr>
      <w:r>
        <w:rPr>
          <w:b/>
          <w:bCs/>
          <w:szCs w:val="20"/>
        </w:rPr>
        <w:t xml:space="preserve">Alt 2: Introduce another set of blocks in DCI format 2_9 for CHO indication. A new starting position </w:t>
      </w:r>
      <w:r>
        <w:rPr>
          <w:rFonts w:ascii="Times New Roman Bold Italic" w:hAnsi="Times New Roman Bold Italic" w:cs="Times New Roman Bold Italic"/>
          <w:b/>
          <w:bCs/>
          <w:i/>
          <w:iCs/>
          <w:szCs w:val="20"/>
        </w:rPr>
        <w:t>positionInDCI-CHO</w:t>
      </w:r>
      <w:r>
        <w:rPr>
          <w:b/>
          <w:bCs/>
          <w:szCs w:val="20"/>
        </w:rPr>
        <w:t xml:space="preserve"> per serving cell should be introduced for the CHO indication. </w:t>
      </w:r>
    </w:p>
    <w:p>
      <w:pPr>
        <w:jc w:val="both"/>
        <w:rPr>
          <w:rFonts w:ascii="Times New Roman Bold" w:hAnsi="Times New Roman Bold" w:cs="Times New Roman Bold"/>
          <w:b/>
          <w:bCs/>
          <w:szCs w:val="20"/>
        </w:rPr>
      </w:pPr>
    </w:p>
    <w:p>
      <w:pPr>
        <w:jc w:val="both"/>
        <w:rPr>
          <w:szCs w:val="20"/>
        </w:rPr>
      </w:pPr>
      <w:r>
        <w:rPr>
          <w:szCs w:val="20"/>
        </w:rPr>
        <w:t xml:space="preserve">In the following, we provide text proposals for both Alt 1 and Alt 2. </w:t>
      </w:r>
    </w:p>
    <w:p>
      <w:pPr>
        <w:pStyle w:val="3"/>
      </w:pPr>
      <w:r>
        <w:t xml:space="preserve"> Text proposal for Alt 1</w:t>
      </w:r>
    </w:p>
    <w:p>
      <w:pPr>
        <w:jc w:val="both"/>
        <w:rPr>
          <w:szCs w:val="20"/>
        </w:rPr>
      </w:pPr>
      <w:r>
        <w:t xml:space="preserve">To support Alt 1, </w:t>
      </w:r>
      <w:r>
        <w:rPr>
          <w:szCs w:val="20"/>
        </w:rPr>
        <w:t xml:space="preserve">the CHO bit is configured within the same block as cell DTX/DRX activation, only one starting position is used for the block. For a UE that does not support L1 activation/deactivation of cell DTX/DRX, this starting position will be still configured and used for CHO indication. Therefore, it needs to be clarified on the condition so that UE would have correct understanding of the fields in DCI format 2_9 in TS 38.212 and also clarify that under what configurations, the UE would correctly understand that the DCI format 2_9 is used for adaptation of cell operation in TS 38.213. The TPs are provided accordingly as follows.  </w:t>
      </w:r>
    </w:p>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tc>
          <w:tcPr>
            <w:tcW w:w="9010" w:type="dxa"/>
          </w:tcPr>
          <w:p>
            <w:pPr>
              <w:rPr>
                <w:rFonts w:hint="default"/>
                <w:lang w:val="en-US"/>
              </w:rPr>
            </w:pPr>
            <w:bookmarkStart w:id="0" w:name="_Toc146188123"/>
            <w:bookmarkStart w:id="1" w:name="_Toc146727671"/>
            <w:r>
              <w:t>Reason for change</w:t>
            </w:r>
            <w:r>
              <w:rPr>
                <w:rFonts w:hint="default"/>
                <w:lang w:val="en-US"/>
              </w:rPr>
              <w:t>:</w:t>
            </w:r>
          </w:p>
          <w:p>
            <w:pPr>
              <w:rPr>
                <w:rFonts w:hint="default"/>
                <w:lang w:val="en-US"/>
              </w:rPr>
            </w:pPr>
            <w:r>
              <w:t>RAN2 sent an LS R1-2311002 (R2-2311589) by requesting to add one bit of DCI 2-9 to notify UE that source cell is entering NES mode. The intention of the additional one bit (instead of reusing Cell DTX/DRX activation indication in DCI 2-9) is to decouple CHO enhancement for NES from Cell DTX/DRX activation.</w:t>
            </w:r>
          </w:p>
        </w:tc>
      </w:tr>
      <w:tr>
        <w:tc>
          <w:tcPr>
            <w:tcW w:w="9010" w:type="dxa"/>
          </w:tcPr>
          <w:p>
            <w:pPr>
              <w:rPr>
                <w:rFonts w:hint="default"/>
                <w:lang w:val="en-US"/>
              </w:rPr>
            </w:pPr>
            <w:r>
              <w:t>Summary of change</w:t>
            </w:r>
            <w:r>
              <w:rPr>
                <w:rFonts w:hint="default"/>
                <w:lang w:val="en-US"/>
              </w:rPr>
              <w:t>:</w:t>
            </w:r>
          </w:p>
          <w:p>
            <w:pPr>
              <w:rPr>
                <w:rFonts w:hint="default"/>
                <w:lang w:val="en-US"/>
              </w:rPr>
            </w:pPr>
            <w:r>
              <w:t>One bit per serving cell for notifying UE to enter NES mode is added in DCI 2-9.</w:t>
            </w:r>
          </w:p>
        </w:tc>
      </w:tr>
      <w:tr>
        <w:tc>
          <w:tcPr>
            <w:tcW w:w="9010" w:type="dxa"/>
          </w:tcPr>
          <w:p>
            <w:pPr>
              <w:rPr>
                <w:rFonts w:hint="default"/>
                <w:lang w:val="en-US"/>
              </w:rPr>
            </w:pPr>
            <w:r>
              <w:t>Consequences if not approved</w:t>
            </w:r>
            <w:r>
              <w:rPr>
                <w:rFonts w:hint="default"/>
                <w:lang w:val="en-US"/>
              </w:rPr>
              <w:t>:</w:t>
            </w:r>
          </w:p>
          <w:p>
            <w:pPr>
              <w:rPr>
                <w:rFonts w:hint="default"/>
                <w:lang w:val="en-US"/>
              </w:rPr>
            </w:pPr>
            <w:r>
              <w:t>CHO enhancement for NES is not supported.</w:t>
            </w:r>
          </w:p>
        </w:tc>
      </w:tr>
      <w:tr>
        <w:tc>
          <w:tcPr>
            <w:tcW w:w="9010" w:type="dxa"/>
          </w:tcPr>
          <w:p>
            <w:pPr>
              <w:jc w:val="both"/>
              <w:rPr>
                <w:sz w:val="20"/>
                <w:szCs w:val="20"/>
              </w:rPr>
            </w:pPr>
          </w:p>
          <w:p>
            <w:pPr>
              <w:jc w:val="both"/>
              <w:rPr>
                <w:sz w:val="20"/>
                <w:szCs w:val="20"/>
              </w:rPr>
            </w:pPr>
            <w:r>
              <w:rPr>
                <w:sz w:val="20"/>
                <w:szCs w:val="20"/>
              </w:rPr>
              <w:t>-----------------------------------------Text proposal for TS38.212 for Alt 1 ---------------------------------------------</w:t>
            </w:r>
          </w:p>
          <w:p>
            <w:pPr>
              <w:jc w:val="both"/>
              <w:rPr>
                <w:rFonts w:hint="default" w:ascii="Times New Roman Regular" w:hAnsi="Times New Roman Regular" w:cs="Times New Roman Regular"/>
                <w:sz w:val="20"/>
                <w:szCs w:val="20"/>
              </w:rPr>
            </w:pPr>
            <w:r>
              <w:rPr>
                <w:rFonts w:hint="default" w:ascii="Times New Roman Regular" w:hAnsi="Times New Roman Regular" w:cs="Times New Roman Regular"/>
                <w:sz w:val="20"/>
                <w:szCs w:val="20"/>
              </w:rPr>
              <w:t>TS38.212</w:t>
            </w:r>
          </w:p>
          <w:p>
            <w:pPr>
              <w:jc w:val="center"/>
              <w:rPr>
                <w:rFonts w:ascii="Arial" w:hAnsi="Arial" w:cs="Arial"/>
                <w:color w:val="FF0000"/>
                <w:sz w:val="28"/>
                <w:szCs w:val="28"/>
              </w:rPr>
            </w:pPr>
            <w:r>
              <w:rPr>
                <w:rFonts w:ascii="Arial" w:hAnsi="Arial" w:cs="Arial"/>
                <w:color w:val="FF0000"/>
                <w:sz w:val="24"/>
              </w:rPr>
              <w:t>&lt; Unchanged parts are omitted &gt;</w:t>
            </w:r>
          </w:p>
          <w:p>
            <w:r>
              <w:t>7.3.1.3.10</w:t>
            </w:r>
            <w:r>
              <w:tab/>
            </w:r>
            <w:r>
              <w:t>Format 2_9</w:t>
            </w:r>
          </w:p>
          <w:p>
            <w:pPr>
              <w:snapToGrid w:val="0"/>
            </w:pPr>
            <w:r>
              <w:t xml:space="preserve">DCI format 2_9 is used for activating or de-activating the cell DTX and/or DRX configuration of one or multiple serving cells </w:t>
            </w:r>
            <w:r>
              <w:rPr>
                <w:color w:val="FF0000"/>
                <w:u w:val="single"/>
              </w:rPr>
              <w:t>or notifying the serving cell is entering NES mode to trigger CHO enhancement of NES</w:t>
            </w:r>
            <w:r>
              <w:rPr>
                <w:color w:val="FF0000"/>
              </w:rPr>
              <w:t xml:space="preserve"> </w:t>
            </w:r>
            <w:r>
              <w:rPr>
                <w:rFonts w:ascii="Times" w:hAnsi="Times" w:eastAsia="Batang"/>
                <w:bCs/>
              </w:rPr>
              <w:t>for one or more UEs</w:t>
            </w:r>
            <w:r>
              <w:t xml:space="preserve">. </w:t>
            </w:r>
          </w:p>
          <w:p>
            <w:r>
              <w:t>The following information is transmitted by means of the DCI format 2_9 with CRC scrambled by cellDTRX-RNTI:</w:t>
            </w:r>
          </w:p>
          <w:p>
            <w:pPr>
              <w:pStyle w:val="65"/>
              <w:rPr>
                <w:rFonts w:eastAsiaTheme="minorEastAsia"/>
                <w:kern w:val="0"/>
                <w:sz w:val="20"/>
              </w:rPr>
            </w:pPr>
            <w:r>
              <w:rPr>
                <w:rFonts w:eastAsiaTheme="minorEastAsia"/>
                <w:kern w:val="0"/>
                <w:sz w:val="20"/>
              </w:rPr>
              <w:t>-</w:t>
            </w:r>
            <w:r>
              <w:rPr>
                <w:rFonts w:eastAsiaTheme="minorEastAsia"/>
                <w:kern w:val="0"/>
                <w:sz w:val="20"/>
                <w:lang w:eastAsia="zh-CN"/>
              </w:rPr>
              <w:tab/>
            </w:r>
            <w:r>
              <w:rPr>
                <w:rFonts w:eastAsiaTheme="minorEastAsia"/>
                <w:kern w:val="0"/>
                <w:sz w:val="20"/>
                <w:lang w:eastAsia="zh-CN"/>
              </w:rPr>
              <w:t xml:space="preserve">block </w:t>
            </w:r>
            <w:r>
              <w:rPr>
                <w:rFonts w:eastAsiaTheme="minorEastAsia"/>
                <w:kern w:val="0"/>
                <w:sz w:val="20"/>
              </w:rPr>
              <w:t xml:space="preserve">number 1, </w:t>
            </w:r>
            <w:r>
              <w:rPr>
                <w:rFonts w:eastAsiaTheme="minorEastAsia"/>
                <w:kern w:val="0"/>
                <w:sz w:val="20"/>
                <w:lang w:eastAsia="zh-CN"/>
              </w:rPr>
              <w:t>block</w:t>
            </w:r>
            <w:r>
              <w:rPr>
                <w:rFonts w:eastAsiaTheme="minorEastAsia"/>
                <w:kern w:val="0"/>
                <w:sz w:val="20"/>
              </w:rPr>
              <w:t xml:space="preserve"> number 2,…, </w:t>
            </w:r>
            <w:r>
              <w:rPr>
                <w:rFonts w:eastAsiaTheme="minorEastAsia"/>
                <w:kern w:val="0"/>
                <w:sz w:val="20"/>
                <w:lang w:eastAsia="zh-CN"/>
              </w:rPr>
              <w:t>block</w:t>
            </w:r>
            <w:r>
              <w:rPr>
                <w:rFonts w:eastAsiaTheme="minorEastAsia"/>
                <w:kern w:val="0"/>
                <w:sz w:val="20"/>
              </w:rPr>
              <w:t xml:space="preserve"> number N</w:t>
            </w:r>
          </w:p>
          <w:p>
            <w:pPr>
              <w:pStyle w:val="65"/>
              <w:snapToGrid w:val="0"/>
              <w:spacing w:line="240" w:lineRule="auto"/>
              <w:ind w:left="576" w:hanging="288"/>
              <w:rPr>
                <w:rFonts w:eastAsiaTheme="minorEastAsia"/>
                <w:kern w:val="0"/>
                <w:sz w:val="20"/>
              </w:rPr>
            </w:pPr>
            <w:r>
              <w:rPr>
                <w:rFonts w:eastAsiaTheme="minorEastAsia"/>
                <w:kern w:val="0"/>
                <w:sz w:val="20"/>
              </w:rPr>
              <w:tab/>
            </w:r>
            <w:r>
              <w:rPr>
                <w:rFonts w:eastAsiaTheme="minorEastAsia"/>
                <w:kern w:val="0"/>
                <w:sz w:val="20"/>
              </w:rPr>
              <w:t xml:space="preserve">where </w:t>
            </w:r>
            <w:r>
              <w:rPr>
                <w:rFonts w:eastAsiaTheme="minorEastAsia"/>
                <w:kern w:val="0"/>
                <w:sz w:val="20"/>
                <w:lang w:eastAsia="ko-KR"/>
              </w:rPr>
              <w:t xml:space="preserve">the starting position of a block </w:t>
            </w:r>
            <w:r>
              <w:rPr>
                <w:rFonts w:eastAsiaTheme="minorEastAsia"/>
                <w:kern w:val="0"/>
                <w:sz w:val="20"/>
              </w:rPr>
              <w:t>is determined by the parameter positionInDCI-cellDTRX</w:t>
            </w:r>
            <w:r>
              <w:rPr>
                <w:rFonts w:eastAsiaTheme="minorEastAsia"/>
                <w:color w:val="FF0000"/>
                <w:kern w:val="0"/>
                <w:sz w:val="20"/>
                <w:lang w:val="en-US"/>
              </w:rPr>
              <w:t xml:space="preserve"> </w:t>
            </w:r>
            <w:r>
              <w:rPr>
                <w:rFonts w:eastAsiaTheme="minorEastAsia"/>
                <w:kern w:val="0"/>
                <w:sz w:val="20"/>
                <w:lang w:eastAsia="ko-KR"/>
              </w:rPr>
              <w:t>provided</w:t>
            </w:r>
            <w:r>
              <w:rPr>
                <w:rFonts w:eastAsiaTheme="minorEastAsia"/>
                <w:kern w:val="0"/>
                <w:sz w:val="20"/>
                <w:lang w:val="en-US" w:eastAsia="ko-KR"/>
              </w:rPr>
              <w:t xml:space="preserve"> </w:t>
            </w:r>
            <w:r>
              <w:rPr>
                <w:rFonts w:eastAsiaTheme="minorEastAsia"/>
                <w:kern w:val="0"/>
                <w:sz w:val="20"/>
                <w:lang w:eastAsia="ko-KR"/>
              </w:rPr>
              <w:t>by higher layers for the UE.</w:t>
            </w:r>
          </w:p>
          <w:p>
            <w:r>
              <w:t xml:space="preserve">If the UE is configured with higher layer parameter </w:t>
            </w:r>
            <w:r>
              <w:rPr>
                <w:i/>
                <w:strike/>
                <w:color w:val="FF0000"/>
              </w:rPr>
              <w:t>XYZ</w:t>
            </w:r>
            <w:r>
              <w:rPr>
                <w:i/>
                <w:color w:val="FF0000"/>
                <w:u w:val="single"/>
              </w:rPr>
              <w:t xml:space="preserve">cellDTRX-RNTI </w:t>
            </w:r>
            <w:r>
              <w:rPr>
                <w:iCs/>
                <w:color w:val="FF0000"/>
                <w:u w:val="single"/>
              </w:rPr>
              <w:t xml:space="preserve">and </w:t>
            </w:r>
            <w:r>
              <w:rPr>
                <w:rFonts w:ascii="Times New Roman Italic" w:hAnsi="Times New Roman Italic" w:cs="Times New Roman Italic"/>
                <w:i/>
                <w:color w:val="FF0000"/>
                <w:u w:val="single"/>
              </w:rPr>
              <w:t xml:space="preserve">dci-Format2-9 </w:t>
            </w:r>
            <w:r>
              <w:t>, one or more blocks are configured for the UE by higher layers, with t</w:t>
            </w:r>
            <w:r>
              <w:rPr>
                <w:lang w:eastAsia="ko-KR"/>
              </w:rPr>
              <w:t>he following field defined for each block:</w:t>
            </w:r>
          </w:p>
          <w:p>
            <w:pPr>
              <w:pStyle w:val="65"/>
              <w:spacing w:after="240" w:afterLines="100" w:line="240" w:lineRule="auto"/>
              <w:ind w:left="576" w:hanging="288"/>
              <w:rPr>
                <w:rFonts w:eastAsiaTheme="minorEastAsia"/>
                <w:kern w:val="0"/>
                <w:sz w:val="20"/>
              </w:rPr>
            </w:pPr>
            <w:r>
              <w:rPr>
                <w:rFonts w:eastAsiaTheme="minorEastAsia"/>
                <w:kern w:val="0"/>
                <w:sz w:val="20"/>
              </w:rPr>
              <w:t>-</w:t>
            </w:r>
            <w:r>
              <w:rPr>
                <w:rFonts w:eastAsiaTheme="minorEastAsia"/>
                <w:kern w:val="0"/>
                <w:sz w:val="20"/>
              </w:rPr>
              <w:tab/>
            </w:r>
            <w:r>
              <w:rPr>
                <w:rFonts w:eastAsiaTheme="minorEastAsia"/>
                <w:kern w:val="0"/>
                <w:sz w:val="20"/>
              </w:rPr>
              <w:t xml:space="preserve">Cell DTX/DRX indication - </w:t>
            </w:r>
            <w:r>
              <w:rPr>
                <w:rFonts w:eastAsiaTheme="minorEastAsia"/>
                <w:color w:val="FF0000"/>
                <w:kern w:val="0"/>
                <w:sz w:val="20"/>
                <w:u w:val="single"/>
                <w:lang w:val="en-US"/>
              </w:rPr>
              <w:t xml:space="preserve">0 bit if UE is </w:t>
            </w:r>
            <w:r>
              <w:rPr>
                <w:rFonts w:hint="default" w:eastAsiaTheme="minorEastAsia"/>
                <w:color w:val="FF0000"/>
                <w:kern w:val="0"/>
                <w:sz w:val="20"/>
                <w:u w:val="single"/>
                <w:lang w:val="en-US"/>
              </w:rPr>
              <w:t xml:space="preserve">not </w:t>
            </w:r>
            <w:r>
              <w:rPr>
                <w:rFonts w:eastAsiaTheme="minorEastAsia"/>
                <w:color w:val="FF0000"/>
                <w:kern w:val="0"/>
                <w:sz w:val="20"/>
                <w:u w:val="single"/>
                <w:lang w:val="en-US"/>
              </w:rPr>
              <w:t xml:space="preserve">configured with </w:t>
            </w:r>
            <w:r>
              <w:rPr>
                <w:rFonts w:hint="default" w:ascii="Times New Roman Italic" w:hAnsi="Times New Roman Italic" w:cs="Times New Roman Italic" w:eastAsiaTheme="minorEastAsia"/>
                <w:i/>
                <w:iCs/>
                <w:color w:val="FF0000"/>
                <w:kern w:val="0"/>
                <w:sz w:val="20"/>
                <w:u w:val="single"/>
                <w:lang w:val="en-US"/>
              </w:rPr>
              <w:t>CellDTXDRX-Config</w:t>
            </w:r>
            <w:r>
              <w:rPr>
                <w:rFonts w:hint="default"/>
                <w:b w:val="0"/>
                <w:bCs w:val="0"/>
                <w:color w:val="FF0000"/>
                <w:sz w:val="20"/>
                <w:szCs w:val="13"/>
                <w:u w:val="single"/>
                <w:lang w:val="en-US"/>
              </w:rPr>
              <w:t>, or does not support</w:t>
            </w:r>
            <w:r>
              <w:rPr>
                <w:rFonts w:hint="default" w:cs="Times New Roman"/>
                <w:b w:val="0"/>
                <w:bCs w:val="0"/>
                <w:color w:val="FF0000"/>
                <w:sz w:val="20"/>
                <w:szCs w:val="13"/>
                <w:u w:val="single"/>
                <w:lang w:val="en-US"/>
              </w:rPr>
              <w:t xml:space="preserve"> cell DTX/DRX triggered by DCI format 2_9</w:t>
            </w:r>
            <w:r>
              <w:rPr>
                <w:rFonts w:eastAsiaTheme="minorEastAsia"/>
                <w:color w:val="FF0000"/>
                <w:kern w:val="0"/>
                <w:sz w:val="20"/>
                <w:lang w:val="en-US" w:eastAsia="zh-CN"/>
              </w:rPr>
              <w:t xml:space="preserve">; </w:t>
            </w:r>
            <w:r>
              <w:rPr>
                <w:rFonts w:eastAsiaTheme="minorEastAsia"/>
                <w:kern w:val="0"/>
                <w:sz w:val="20"/>
              </w:rPr>
              <w:t>2 bits</w:t>
            </w:r>
            <w:r>
              <w:rPr>
                <w:rFonts w:hint="eastAsia" w:eastAsiaTheme="minorEastAsia"/>
                <w:kern w:val="0"/>
                <w:sz w:val="20"/>
              </w:rPr>
              <w:t xml:space="preserve"> </w:t>
            </w:r>
            <w:r>
              <w:rPr>
                <w:rFonts w:eastAsiaTheme="minorEastAsia"/>
                <w:kern w:val="0"/>
                <w:sz w:val="20"/>
              </w:rPr>
              <w:t>i</w:t>
            </w:r>
            <w:r>
              <w:rPr>
                <w:rFonts w:hint="eastAsia" w:eastAsiaTheme="minorEastAsia"/>
                <w:kern w:val="0"/>
                <w:sz w:val="20"/>
              </w:rPr>
              <w:t>f</w:t>
            </w:r>
            <w:r>
              <w:rPr>
                <w:rFonts w:eastAsiaTheme="minorEastAsia"/>
                <w:kern w:val="0"/>
                <w:sz w:val="20"/>
              </w:rPr>
              <w:t xml:space="preserve"> </w:t>
            </w:r>
            <w:r>
              <w:rPr>
                <w:rFonts w:hint="default" w:eastAsiaTheme="minorEastAsia"/>
                <w:strike/>
                <w:color w:val="FF0000"/>
                <w:kern w:val="0"/>
                <w:sz w:val="20"/>
                <w:lang w:val="en-US"/>
              </w:rPr>
              <w:t xml:space="preserve">XYZ </w:t>
            </w:r>
            <w:r>
              <w:rPr>
                <w:rFonts w:eastAsiaTheme="minorEastAsia"/>
                <w:color w:val="FF0000"/>
                <w:kern w:val="0"/>
                <w:sz w:val="20"/>
                <w:u w:val="single"/>
                <w:lang w:val="en-US"/>
              </w:rPr>
              <w:t xml:space="preserve">UE is configured with </w:t>
            </w:r>
            <w:r>
              <w:rPr>
                <w:rFonts w:hint="default" w:ascii="Times New Roman Italic" w:hAnsi="Times New Roman Italic" w:cs="Times New Roman Italic" w:eastAsiaTheme="minorEastAsia"/>
                <w:i/>
                <w:iCs/>
                <w:color w:val="FF0000"/>
                <w:kern w:val="0"/>
                <w:sz w:val="20"/>
                <w:u w:val="single"/>
                <w:lang w:val="en-US"/>
              </w:rPr>
              <w:t>CellDTXDRX-Config</w:t>
            </w:r>
            <w:r>
              <w:rPr>
                <w:rFonts w:hint="default" w:eastAsiaTheme="minorEastAsia"/>
                <w:color w:val="FF0000"/>
                <w:kern w:val="0"/>
                <w:sz w:val="20"/>
                <w:u w:val="single"/>
                <w:lang w:val="en-US"/>
              </w:rPr>
              <w:t xml:space="preserve"> and </w:t>
            </w:r>
            <w:r>
              <w:rPr>
                <w:rFonts w:hint="default" w:ascii="Times New Roman Italic" w:hAnsi="Times New Roman Italic" w:cs="Times New Roman Italic" w:eastAsiaTheme="minorEastAsia"/>
                <w:i/>
                <w:iCs/>
                <w:color w:val="FF0000"/>
                <w:kern w:val="0"/>
                <w:sz w:val="20"/>
                <w:u w:val="single"/>
                <w:lang w:val="en-US"/>
              </w:rPr>
              <w:t xml:space="preserve">cellDTXDRXconfigType </w:t>
            </w:r>
            <w:r>
              <w:rPr>
                <w:rFonts w:hint="default" w:eastAsiaTheme="minorEastAsia"/>
                <w:color w:val="FF0000"/>
                <w:kern w:val="0"/>
                <w:sz w:val="20"/>
                <w:u w:val="single"/>
                <w:lang w:val="en-US"/>
              </w:rPr>
              <w:t>is configured as ‘dtxdrx’</w:t>
            </w:r>
            <w:r>
              <w:rPr>
                <w:rFonts w:eastAsiaTheme="minorEastAsia"/>
                <w:kern w:val="0"/>
                <w:sz w:val="20"/>
              </w:rPr>
              <w:t>, with the MSB corresponding to cell DTX configuration and the LSB corresponding to cell DRX configuration</w:t>
            </w:r>
            <w:r>
              <w:rPr>
                <w:rFonts w:hint="eastAsia" w:eastAsiaTheme="minorEastAsia"/>
                <w:kern w:val="0"/>
                <w:sz w:val="20"/>
              </w:rPr>
              <w:t>;</w:t>
            </w:r>
            <w:r>
              <w:rPr>
                <w:rFonts w:eastAsiaTheme="minorEastAsia"/>
                <w:kern w:val="0"/>
                <w:sz w:val="20"/>
              </w:rPr>
              <w:t xml:space="preserve"> otherwise 1 bit. </w:t>
            </w:r>
          </w:p>
          <w:p>
            <w:pPr>
              <w:pStyle w:val="65"/>
              <w:spacing w:after="240" w:afterLines="100" w:line="240" w:lineRule="auto"/>
              <w:ind w:left="576" w:hanging="288"/>
              <w:rPr>
                <w:rFonts w:eastAsiaTheme="minorEastAsia"/>
                <w:color w:val="FF0000"/>
                <w:kern w:val="0"/>
                <w:sz w:val="20"/>
                <w:lang w:val="en-US" w:eastAsia="zh-CN"/>
              </w:rPr>
            </w:pPr>
          </w:p>
          <w:p>
            <w:pPr>
              <w:pStyle w:val="65"/>
              <w:snapToGrid w:val="0"/>
              <w:spacing w:line="240" w:lineRule="auto"/>
              <w:ind w:left="600" w:leftChars="150" w:hanging="300" w:hangingChars="150"/>
              <w:rPr>
                <w:rFonts w:eastAsiaTheme="minorEastAsia"/>
                <w:kern w:val="0"/>
                <w:sz w:val="20"/>
                <w:u w:val="single"/>
              </w:rPr>
            </w:pPr>
            <w:r>
              <w:rPr>
                <w:rFonts w:eastAsiaTheme="minorEastAsia"/>
                <w:color w:val="FF0000"/>
                <w:kern w:val="0"/>
                <w:sz w:val="20"/>
                <w:u w:val="single"/>
                <w:lang w:val="en-US" w:eastAsia="zh-CN"/>
              </w:rPr>
              <w:t xml:space="preserve">-    NES CHO indication - </w:t>
            </w:r>
            <w:r>
              <w:rPr>
                <w:rFonts w:hint="default" w:eastAsiaTheme="minorEastAsia"/>
                <w:color w:val="FF0000"/>
                <w:kern w:val="0"/>
                <w:sz w:val="20"/>
                <w:u w:val="single"/>
                <w:lang w:val="en-US" w:eastAsia="zh-CN"/>
              </w:rPr>
              <w:t xml:space="preserve">1bit if </w:t>
            </w:r>
            <w:r>
              <w:rPr>
                <w:rFonts w:hint="default" w:ascii="Times New Roman Italic" w:hAnsi="Times New Roman Italic" w:cs="Times New Roman Italic" w:eastAsiaTheme="minorEastAsia"/>
                <w:i/>
                <w:iCs/>
                <w:color w:val="FF0000"/>
                <w:kern w:val="0"/>
                <w:sz w:val="20"/>
                <w:u w:val="single"/>
                <w:lang w:val="en-US" w:eastAsia="zh-CN"/>
              </w:rPr>
              <w:t xml:space="preserve">conditionalReconfiguration </w:t>
            </w:r>
            <w:r>
              <w:rPr>
                <w:rFonts w:hint="default" w:eastAsiaTheme="minorEastAsia"/>
                <w:color w:val="FF0000"/>
                <w:kern w:val="0"/>
                <w:sz w:val="20"/>
                <w:u w:val="single"/>
                <w:lang w:val="en-US" w:eastAsia="zh-CN"/>
              </w:rPr>
              <w:t xml:space="preserve">is configured and the </w:t>
            </w:r>
            <w:r>
              <w:rPr>
                <w:rFonts w:hint="default" w:ascii="Times New Roman Italic" w:hAnsi="Times New Roman Italic" w:cs="Times New Roman Italic" w:eastAsiaTheme="minorEastAsia"/>
                <w:i/>
                <w:iCs/>
                <w:color w:val="FF0000"/>
                <w:kern w:val="0"/>
                <w:sz w:val="20"/>
                <w:u w:val="single"/>
                <w:lang w:val="en-US" w:eastAsia="zh-CN"/>
              </w:rPr>
              <w:t xml:space="preserve">ServCellIndex  </w:t>
            </w:r>
            <w:r>
              <w:rPr>
                <w:rFonts w:hint="default" w:eastAsiaTheme="minorEastAsia"/>
                <w:color w:val="FF0000"/>
                <w:kern w:val="0"/>
                <w:sz w:val="20"/>
                <w:u w:val="single"/>
                <w:lang w:val="en-US" w:eastAsia="zh-CN"/>
              </w:rPr>
              <w:t>of this serving cell is 0</w:t>
            </w:r>
            <w:r>
              <w:rPr>
                <w:rFonts w:eastAsiaTheme="minorEastAsia"/>
                <w:color w:val="FF0000"/>
                <w:kern w:val="0"/>
                <w:sz w:val="20"/>
                <w:u w:val="single"/>
                <w:lang w:val="en-US" w:eastAsia="zh-CN"/>
              </w:rPr>
              <w:t>. </w:t>
            </w:r>
          </w:p>
          <w:p>
            <w:r>
              <w:t xml:space="preserve">The size of DCI format 2_9 is indicated by the higher layer parameter </w:t>
            </w:r>
            <w:r>
              <w:rPr>
                <w:i/>
              </w:rPr>
              <w:t>sizeDCI-2-9</w:t>
            </w:r>
            <w:r>
              <w:t>.</w:t>
            </w:r>
          </w:p>
          <w:p>
            <w:pPr>
              <w:jc w:val="center"/>
            </w:pPr>
            <w:r>
              <w:rPr>
                <w:rFonts w:ascii="Arial" w:hAnsi="Arial" w:cs="Arial"/>
                <w:color w:val="FF0000"/>
                <w:sz w:val="24"/>
              </w:rPr>
              <w:t>&lt; Unchanged parts are omitted &gt;</w:t>
            </w:r>
          </w:p>
          <w:p>
            <w:pPr>
              <w:jc w:val="both"/>
              <w:rPr>
                <w:szCs w:val="20"/>
              </w:rPr>
            </w:pPr>
            <w:r>
              <w:rPr>
                <w:szCs w:val="20"/>
              </w:rPr>
              <w:t>-------------------------------------------------------End of Text proposal --------------------------------------------------</w:t>
            </w:r>
          </w:p>
          <w:p/>
          <w:p/>
          <w:p>
            <w:pPr>
              <w:jc w:val="both"/>
              <w:rPr>
                <w:rFonts w:ascii="Arial" w:hAnsi="Arial" w:cs="Arial"/>
                <w:sz w:val="24"/>
              </w:rPr>
            </w:pPr>
            <w:r>
              <w:rPr>
                <w:szCs w:val="20"/>
              </w:rPr>
              <w:t>-----------------------------------------Text proposal for TS38.213 for Alt 1 ---------------------------------------------</w:t>
            </w:r>
          </w:p>
          <w:p>
            <w:pPr>
              <w:jc w:val="both"/>
              <w:rPr>
                <w:rFonts w:hint="default" w:ascii="Times New Roman Regular" w:hAnsi="Times New Roman Regular" w:cs="Times New Roman Regular"/>
                <w:sz w:val="20"/>
                <w:szCs w:val="20"/>
              </w:rPr>
            </w:pPr>
            <w:r>
              <w:rPr>
                <w:rFonts w:hint="default" w:ascii="Times New Roman Regular" w:hAnsi="Times New Roman Regular" w:cs="Times New Roman Regular"/>
                <w:sz w:val="20"/>
                <w:szCs w:val="20"/>
              </w:rPr>
              <w:t>TS 38.213</w:t>
            </w:r>
          </w:p>
          <w:p>
            <w:pPr>
              <w:jc w:val="center"/>
              <w:rPr>
                <w:rFonts w:ascii="Arial" w:hAnsi="Arial" w:cs="Arial"/>
                <w:color w:val="FF0000"/>
                <w:sz w:val="24"/>
              </w:rPr>
            </w:pPr>
            <w:r>
              <w:rPr>
                <w:rFonts w:ascii="Arial" w:hAnsi="Arial" w:cs="Arial"/>
                <w:color w:val="FF0000"/>
                <w:sz w:val="24"/>
              </w:rPr>
              <w:t>&lt; Unchanged parts are omitted &gt;</w:t>
            </w:r>
          </w:p>
          <w:p>
            <w:bookmarkStart w:id="2" w:name="_Toc137056426"/>
            <w:bookmarkStart w:id="3" w:name="_Toc146214457"/>
            <w:r>
              <w:t>11.5</w:t>
            </w:r>
            <w:r>
              <w:tab/>
            </w:r>
            <w:bookmarkEnd w:id="2"/>
            <w:r>
              <w:t>Adaptation of cell operation</w:t>
            </w:r>
            <w:bookmarkEnd w:id="3"/>
          </w:p>
          <w:p>
            <w:pPr>
              <w:rPr>
                <w:highlight w:val="none"/>
                <w:u w:val="single"/>
              </w:rPr>
            </w:pPr>
            <w:r>
              <w:t>A UE configured for operation on a se</w:t>
            </w:r>
            <w:r>
              <w:rPr>
                <w:highlight w:val="none"/>
              </w:rPr>
              <w:t xml:space="preserve">rving cell according to one or both of a cell DTX operation by </w:t>
            </w:r>
            <w:r>
              <w:rPr>
                <w:i/>
                <w:iCs/>
                <w:highlight w:val="none"/>
              </w:rPr>
              <w:t>cellDTXConfig</w:t>
            </w:r>
            <w:r>
              <w:rPr>
                <w:highlight w:val="none"/>
              </w:rPr>
              <w:t xml:space="preserve"> and a cell DRX operation by </w:t>
            </w:r>
            <w:r>
              <w:rPr>
                <w:i/>
                <w:iCs/>
                <w:highlight w:val="none"/>
              </w:rPr>
              <w:t>cellDRXConfig</w:t>
            </w:r>
            <w:r>
              <w:rPr>
                <w:highlight w:val="none"/>
              </w:rPr>
              <w:t xml:space="preserve"> for the serving cell [11, TS 38.331], can be additionally provided by </w:t>
            </w:r>
            <w:r>
              <w:rPr>
                <w:i/>
                <w:iCs/>
                <w:highlight w:val="none"/>
              </w:rPr>
              <w:t>dci-Format2-9</w:t>
            </w:r>
            <w:r>
              <w:rPr>
                <w:highlight w:val="none"/>
              </w:rPr>
              <w:t xml:space="preserve"> a Type3-PDCCH CSS set to monitor PDCCH for detection of DCI format 2_9 as described in clause 10.1</w:t>
            </w:r>
            <w:r>
              <w:rPr>
                <w:color w:val="FF0000"/>
                <w:highlight w:val="none"/>
                <w:u w:val="single"/>
              </w:rPr>
              <w:t xml:space="preserve">,  if </w:t>
            </w:r>
            <w:r>
              <w:rPr>
                <w:color w:val="FF0000"/>
                <w:szCs w:val="20"/>
                <w:highlight w:val="none"/>
                <w:u w:val="single"/>
              </w:rPr>
              <w:t>UE supports cell DTX and/or cell DRX triggered by DCI format 2_9,</w:t>
            </w:r>
            <w:r>
              <w:rPr>
                <w:highlight w:val="none"/>
                <w:u w:val="single"/>
              </w:rPr>
              <w:t xml:space="preserve"> </w:t>
            </w:r>
          </w:p>
          <w:p>
            <w:pPr>
              <w:pStyle w:val="65"/>
              <w:snapToGrid w:val="0"/>
              <w:spacing w:after="360" w:afterLines="150" w:line="240" w:lineRule="auto"/>
              <w:ind w:left="576" w:hanging="288"/>
              <w:rPr>
                <w:sz w:val="20"/>
              </w:rPr>
            </w:pPr>
            <w:r>
              <w:t>-</w:t>
            </w:r>
            <w:r>
              <w:tab/>
            </w:r>
            <w:r>
              <w:rPr>
                <w:sz w:val="20"/>
              </w:rPr>
              <w:t>if the UE is configured with both cell DTX operation and cell DRX operation for the serving cell, the cell DTX/DRX indicator field includes two bits where the first bit indicates the cell DTX operation and the second bit indicates the cell DRX operation</w:t>
            </w:r>
          </w:p>
          <w:p>
            <w:pPr>
              <w:pStyle w:val="65"/>
              <w:snapToGrid w:val="0"/>
              <w:spacing w:after="240" w:afterLines="100" w:line="240" w:lineRule="auto"/>
              <w:ind w:left="576" w:hanging="288"/>
              <w:rPr>
                <w:sz w:val="20"/>
              </w:rPr>
            </w:pPr>
            <w:r>
              <w:rPr>
                <w:sz w:val="20"/>
              </w:rPr>
              <w:t>-</w:t>
            </w:r>
            <w:r>
              <w:rPr>
                <w:sz w:val="20"/>
              </w:rPr>
              <w:tab/>
            </w:r>
            <w:r>
              <w:rPr>
                <w:sz w:val="20"/>
              </w:rPr>
              <w:t>if the UE is configured with only one of the cell DTX operation and cell DRX operation for the serving cell,</w:t>
            </w:r>
            <w:r>
              <w:rPr>
                <w:sz w:val="20"/>
                <w:lang w:val="en-US"/>
              </w:rPr>
              <w:t xml:space="preserve"> </w:t>
            </w:r>
            <w:r>
              <w:rPr>
                <w:color w:val="FF0000"/>
                <w:sz w:val="20"/>
                <w:lang w:val="en-US"/>
              </w:rPr>
              <w:t xml:space="preserve"> </w:t>
            </w:r>
            <w:r>
              <w:rPr>
                <w:sz w:val="20"/>
              </w:rPr>
              <w:t>the cell DTX/DRX indicator field includes one bit indicating one of the cell DTX operation and cell DRX operation, respectively, for the serving cell</w:t>
            </w:r>
          </w:p>
          <w:p>
            <w:pPr>
              <w:pStyle w:val="65"/>
              <w:snapToGrid w:val="0"/>
              <w:spacing w:after="240" w:afterLines="100" w:line="240" w:lineRule="auto"/>
              <w:ind w:left="576" w:hanging="288"/>
              <w:rPr>
                <w:sz w:val="20"/>
              </w:rPr>
            </w:pPr>
            <w:r>
              <w:rPr>
                <w:sz w:val="20"/>
              </w:rPr>
              <w:t>-</w:t>
            </w:r>
            <w:r>
              <w:rPr>
                <w:sz w:val="20"/>
              </w:rPr>
              <w:tab/>
            </w:r>
            <w:r>
              <w:rPr>
                <w:sz w:val="20"/>
              </w:rPr>
              <w:t xml:space="preserve">a </w:t>
            </w:r>
            <w:r>
              <w:rPr>
                <w:sz w:val="20"/>
                <w:lang w:val="en-US"/>
              </w:rPr>
              <w:t>'</w:t>
            </w:r>
            <w:r>
              <w:rPr>
                <w:sz w:val="20"/>
              </w:rPr>
              <w:t>0</w:t>
            </w:r>
            <w:r>
              <w:rPr>
                <w:sz w:val="20"/>
                <w:lang w:val="en-US"/>
              </w:rPr>
              <w:t>'</w:t>
            </w:r>
            <w:r>
              <w:rPr>
                <w:sz w:val="20"/>
              </w:rPr>
              <w:t xml:space="preserve"> value for a bit of the cell DTX/DRX indicator field indicates </w:t>
            </w:r>
            <w:r>
              <w:rPr>
                <w:rFonts w:hint="eastAsia"/>
                <w:sz w:val="20"/>
                <w:lang w:eastAsia="zh-CN"/>
              </w:rPr>
              <w:t xml:space="preserve">deactivation of cell </w:t>
            </w:r>
            <w:r>
              <w:rPr>
                <w:sz w:val="20"/>
              </w:rPr>
              <w:t>DTX or of cell DRX</w:t>
            </w:r>
          </w:p>
          <w:p>
            <w:pPr>
              <w:pStyle w:val="65"/>
              <w:snapToGrid w:val="0"/>
              <w:spacing w:after="240" w:afterLines="100" w:line="240" w:lineRule="auto"/>
              <w:ind w:left="576" w:hanging="288"/>
              <w:rPr>
                <w:sz w:val="20"/>
              </w:rPr>
            </w:pPr>
            <w:r>
              <w:rPr>
                <w:sz w:val="20"/>
              </w:rPr>
              <w:t>-</w:t>
            </w:r>
            <w:r>
              <w:rPr>
                <w:sz w:val="20"/>
              </w:rPr>
              <w:tab/>
            </w:r>
            <w:r>
              <w:rPr>
                <w:sz w:val="20"/>
              </w:rPr>
              <w:t xml:space="preserve">a </w:t>
            </w:r>
            <w:r>
              <w:rPr>
                <w:sz w:val="20"/>
                <w:lang w:val="en-US"/>
              </w:rPr>
              <w:t>'</w:t>
            </w:r>
            <w:r>
              <w:rPr>
                <w:sz w:val="20"/>
              </w:rPr>
              <w:t>1</w:t>
            </w:r>
            <w:r>
              <w:rPr>
                <w:sz w:val="20"/>
                <w:lang w:val="en-US"/>
              </w:rPr>
              <w:t>'</w:t>
            </w:r>
            <w:r>
              <w:rPr>
                <w:sz w:val="20"/>
              </w:rPr>
              <w:t xml:space="preserve"> value for a bit of the cell DTX/DRX indicator field indicates activation of cell DTX or of cell DRX</w:t>
            </w:r>
          </w:p>
          <w:p>
            <w:pPr>
              <w:pStyle w:val="65"/>
              <w:snapToGrid w:val="0"/>
              <w:spacing w:after="240" w:afterLines="100" w:line="240" w:lineRule="auto"/>
              <w:ind w:left="576" w:hanging="288"/>
              <w:rPr>
                <w:sz w:val="20"/>
              </w:rPr>
            </w:pPr>
            <w:r>
              <w:rPr>
                <w:sz w:val="20"/>
              </w:rPr>
              <w:t>-</w:t>
            </w:r>
            <w:r>
              <w:rPr>
                <w:sz w:val="20"/>
              </w:rPr>
              <w:tab/>
            </w:r>
            <w:r>
              <w:rPr>
                <w:sz w:val="20"/>
              </w:rPr>
              <w:t>if the serving cell is configured with a SUL carrier, the cell DTX/DRX indicator field indication for activation or deactivation of cell DRX applies to both the UL carrier and the SUL carrier</w:t>
            </w:r>
          </w:p>
          <w:p>
            <w:r>
              <w:t>A UE does not expect to monitor PDCCH for detection of DCI format 2_9 on more than one serving cells.</w:t>
            </w:r>
          </w:p>
          <w:p>
            <w:pPr>
              <w:jc w:val="center"/>
              <w:rPr>
                <w:rFonts w:ascii="Arial" w:hAnsi="Arial" w:cs="Arial"/>
                <w:sz w:val="24"/>
              </w:rPr>
            </w:pPr>
            <w:r>
              <w:rPr>
                <w:rFonts w:ascii="Arial" w:hAnsi="Arial" w:cs="Arial"/>
                <w:color w:val="FF0000"/>
                <w:sz w:val="24"/>
              </w:rPr>
              <w:t>&lt; Unchanged parts are omitted &gt;</w:t>
            </w:r>
          </w:p>
          <w:p>
            <w:pPr>
              <w:jc w:val="both"/>
              <w:rPr>
                <w:szCs w:val="20"/>
              </w:rPr>
            </w:pPr>
            <w:r>
              <w:rPr>
                <w:szCs w:val="20"/>
              </w:rPr>
              <w:t>-------------------------------------------------------End of Text proposal --------------------------------------------------</w:t>
            </w:r>
          </w:p>
          <w:p/>
        </w:tc>
      </w:tr>
    </w:tbl>
    <w:p>
      <w:pPr>
        <w:jc w:val="both"/>
        <w:rPr>
          <w:rFonts w:ascii="Arial" w:hAnsi="Arial" w:cs="Arial"/>
          <w:sz w:val="21"/>
          <w:szCs w:val="21"/>
        </w:rPr>
      </w:pPr>
    </w:p>
    <w:bookmarkEnd w:id="0"/>
    <w:bookmarkEnd w:id="1"/>
    <w:p>
      <w:pPr>
        <w:jc w:val="both"/>
        <w:rPr>
          <w:szCs w:val="20"/>
        </w:rPr>
      </w:pPr>
    </w:p>
    <w:p/>
    <w:p>
      <w:pPr>
        <w:pStyle w:val="3"/>
      </w:pPr>
      <w:r>
        <w:t xml:space="preserve"> Text proposal for Alt 2</w:t>
      </w:r>
    </w:p>
    <w:p>
      <w:pPr>
        <w:jc w:val="both"/>
        <w:rPr>
          <w:szCs w:val="20"/>
        </w:rPr>
      </w:pPr>
      <w:r>
        <w:t xml:space="preserve">To support Alt 2, </w:t>
      </w:r>
      <w:r>
        <w:rPr>
          <w:szCs w:val="20"/>
        </w:rPr>
        <w:t xml:space="preserve">the CHO bit is configured in a separate block as cell DTX/DRX activation. Another starting position is introduced for the block. Therefore, the UE could have a clear understanding of the field with the two different start positions. There is no need to change the current TS 38.213, only the Format 2_9 fields in TS 38.212 needs to be updated. The TP is provided accordingly as follows.  </w:t>
      </w:r>
    </w:p>
    <w:p>
      <w:pPr>
        <w:jc w:val="both"/>
        <w:rPr>
          <w:szCs w:val="20"/>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tc>
          <w:tcPr>
            <w:tcW w:w="9010" w:type="dxa"/>
          </w:tcPr>
          <w:p>
            <w:pPr>
              <w:rPr>
                <w:rFonts w:hint="default"/>
                <w:lang w:val="en-US"/>
              </w:rPr>
            </w:pPr>
            <w:r>
              <w:t>Reason for change</w:t>
            </w:r>
            <w:r>
              <w:rPr>
                <w:rFonts w:hint="default"/>
                <w:lang w:val="en-US"/>
              </w:rPr>
              <w:t>:</w:t>
            </w:r>
          </w:p>
          <w:p>
            <w:pPr>
              <w:rPr>
                <w:rFonts w:hint="default"/>
                <w:lang w:val="en-US"/>
              </w:rPr>
            </w:pPr>
            <w:r>
              <w:t>RAN2 sent an LS R1-2311002 (R2-2311589) by requesting to add one bit of DCI 2-9 to notify UE that source cell is entering NES mode. The intention of the additional one bit (instead of reusing Cell DTX/DRX activation indication in DCI 2-9) is to decouple CHO enhancement for NES from Cell DTX/DRX activation.</w:t>
            </w:r>
          </w:p>
        </w:tc>
      </w:tr>
      <w:tr>
        <w:tc>
          <w:tcPr>
            <w:tcW w:w="9010" w:type="dxa"/>
          </w:tcPr>
          <w:p>
            <w:pPr>
              <w:rPr>
                <w:rFonts w:hint="default"/>
                <w:lang w:val="en-US"/>
              </w:rPr>
            </w:pPr>
            <w:r>
              <w:t>Summary of change</w:t>
            </w:r>
            <w:r>
              <w:rPr>
                <w:rFonts w:hint="default"/>
                <w:lang w:val="en-US"/>
              </w:rPr>
              <w:t>:</w:t>
            </w:r>
          </w:p>
          <w:p>
            <w:pPr>
              <w:rPr>
                <w:rFonts w:hint="default"/>
                <w:lang w:val="en-US"/>
              </w:rPr>
            </w:pPr>
            <w:r>
              <w:t>One bit per serving cell for notifying UE to enter NES mode is added in DCI 2-9.</w:t>
            </w:r>
          </w:p>
        </w:tc>
      </w:tr>
      <w:tr>
        <w:tc>
          <w:tcPr>
            <w:tcW w:w="9010" w:type="dxa"/>
          </w:tcPr>
          <w:p>
            <w:pPr>
              <w:rPr>
                <w:rFonts w:hint="default"/>
                <w:lang w:val="en-US"/>
              </w:rPr>
            </w:pPr>
            <w:r>
              <w:t>Consequences if not approved</w:t>
            </w:r>
            <w:r>
              <w:rPr>
                <w:rFonts w:hint="default"/>
                <w:lang w:val="en-US"/>
              </w:rPr>
              <w:t>:</w:t>
            </w:r>
          </w:p>
          <w:p>
            <w:pPr>
              <w:rPr>
                <w:rFonts w:hint="default"/>
                <w:lang w:val="en-US"/>
              </w:rPr>
            </w:pPr>
            <w:r>
              <w:t>CHO enhancement for NES is not supported.</w:t>
            </w:r>
          </w:p>
        </w:tc>
      </w:tr>
      <w:tr>
        <w:tc>
          <w:tcPr>
            <w:tcW w:w="9010" w:type="dxa"/>
          </w:tcPr>
          <w:p/>
          <w:p>
            <w:pPr>
              <w:jc w:val="both"/>
              <w:rPr>
                <w:szCs w:val="20"/>
              </w:rPr>
            </w:pPr>
            <w:r>
              <w:rPr>
                <w:szCs w:val="20"/>
              </w:rPr>
              <w:t>---------------------------------------------Text proposal for TS38.212 for Alt 2 -----------------------------------------</w:t>
            </w:r>
          </w:p>
          <w:p>
            <w:pPr>
              <w:jc w:val="center"/>
              <w:rPr>
                <w:rFonts w:ascii="Arial" w:hAnsi="Arial" w:cs="Arial"/>
                <w:color w:val="FF0000"/>
                <w:sz w:val="28"/>
                <w:szCs w:val="28"/>
              </w:rPr>
            </w:pPr>
            <w:r>
              <w:rPr>
                <w:rFonts w:ascii="Arial" w:hAnsi="Arial" w:cs="Arial"/>
                <w:color w:val="FF0000"/>
                <w:sz w:val="24"/>
              </w:rPr>
              <w:t>&lt; Unchanged parts are omitted &gt;</w:t>
            </w:r>
          </w:p>
          <w:p>
            <w:r>
              <w:t>7.3.1.3.10</w:t>
            </w:r>
            <w:r>
              <w:tab/>
            </w:r>
            <w:r>
              <w:t>Format 2_9</w:t>
            </w:r>
          </w:p>
          <w:p>
            <w:pPr>
              <w:snapToGrid w:val="0"/>
            </w:pPr>
            <w:r>
              <w:t xml:space="preserve">DCI format 2_9 is used for activating or de-activating the cell DTX and/or DRX configuration of one or multiple serving cells </w:t>
            </w:r>
            <w:r>
              <w:rPr>
                <w:color w:val="FF0000"/>
                <w:u w:val="single"/>
              </w:rPr>
              <w:t>or notifying the serving cell is entering NES mode to trigger CHO enhancement of NES</w:t>
            </w:r>
            <w:r>
              <w:rPr>
                <w:color w:val="FF0000"/>
              </w:rPr>
              <w:t xml:space="preserve"> </w:t>
            </w:r>
            <w:r>
              <w:rPr>
                <w:rFonts w:ascii="Times" w:hAnsi="Times" w:eastAsia="Batang"/>
                <w:bCs/>
              </w:rPr>
              <w:t>for one or more UEs</w:t>
            </w:r>
            <w:r>
              <w:t xml:space="preserve">. </w:t>
            </w:r>
          </w:p>
          <w:p>
            <w:r>
              <w:t>The following information is transmitted by means of the DCI format 2_9 with CRC scrambled by cellDTRX-RNTI:</w:t>
            </w:r>
          </w:p>
          <w:p>
            <w:pPr>
              <w:pStyle w:val="65"/>
              <w:rPr>
                <w:rFonts w:eastAsiaTheme="minorEastAsia"/>
                <w:kern w:val="0"/>
                <w:sz w:val="20"/>
              </w:rPr>
            </w:pPr>
            <w:r>
              <w:rPr>
                <w:rFonts w:eastAsiaTheme="minorEastAsia"/>
                <w:kern w:val="0"/>
                <w:sz w:val="20"/>
              </w:rPr>
              <w:t>-</w:t>
            </w:r>
            <w:r>
              <w:rPr>
                <w:rFonts w:eastAsiaTheme="minorEastAsia"/>
                <w:kern w:val="0"/>
                <w:sz w:val="20"/>
                <w:lang w:eastAsia="zh-CN"/>
              </w:rPr>
              <w:tab/>
            </w:r>
            <w:r>
              <w:rPr>
                <w:rFonts w:eastAsiaTheme="minorEastAsia"/>
                <w:kern w:val="0"/>
                <w:sz w:val="20"/>
                <w:lang w:eastAsia="zh-CN"/>
              </w:rPr>
              <w:t xml:space="preserve">block </w:t>
            </w:r>
            <w:r>
              <w:rPr>
                <w:rFonts w:eastAsiaTheme="minorEastAsia"/>
                <w:kern w:val="0"/>
                <w:sz w:val="20"/>
              </w:rPr>
              <w:t xml:space="preserve">number 1, </w:t>
            </w:r>
            <w:r>
              <w:rPr>
                <w:rFonts w:eastAsiaTheme="minorEastAsia"/>
                <w:kern w:val="0"/>
                <w:sz w:val="20"/>
                <w:lang w:eastAsia="zh-CN"/>
              </w:rPr>
              <w:t>block</w:t>
            </w:r>
            <w:r>
              <w:rPr>
                <w:rFonts w:eastAsiaTheme="minorEastAsia"/>
                <w:kern w:val="0"/>
                <w:sz w:val="20"/>
              </w:rPr>
              <w:t xml:space="preserve"> number 2,…, </w:t>
            </w:r>
            <w:r>
              <w:rPr>
                <w:rFonts w:eastAsiaTheme="minorEastAsia"/>
                <w:kern w:val="0"/>
                <w:sz w:val="20"/>
                <w:lang w:eastAsia="zh-CN"/>
              </w:rPr>
              <w:t>block</w:t>
            </w:r>
            <w:r>
              <w:rPr>
                <w:rFonts w:eastAsiaTheme="minorEastAsia"/>
                <w:kern w:val="0"/>
                <w:sz w:val="20"/>
              </w:rPr>
              <w:t xml:space="preserve"> number N</w:t>
            </w:r>
          </w:p>
          <w:p>
            <w:pPr>
              <w:pStyle w:val="65"/>
              <w:snapToGrid w:val="0"/>
              <w:spacing w:line="240" w:lineRule="auto"/>
              <w:ind w:left="576" w:hanging="288"/>
              <w:rPr>
                <w:rFonts w:eastAsiaTheme="minorEastAsia"/>
                <w:kern w:val="0"/>
                <w:sz w:val="20"/>
                <w:lang w:eastAsia="ko-KR"/>
              </w:rPr>
            </w:pPr>
            <w:r>
              <w:rPr>
                <w:rFonts w:eastAsiaTheme="minorEastAsia"/>
                <w:kern w:val="0"/>
                <w:sz w:val="20"/>
              </w:rPr>
              <w:tab/>
            </w:r>
            <w:r>
              <w:rPr>
                <w:rFonts w:eastAsiaTheme="minorEastAsia"/>
                <w:kern w:val="0"/>
                <w:sz w:val="20"/>
              </w:rPr>
              <w:t xml:space="preserve">where </w:t>
            </w:r>
            <w:r>
              <w:rPr>
                <w:rFonts w:eastAsiaTheme="minorEastAsia"/>
                <w:kern w:val="0"/>
                <w:sz w:val="20"/>
                <w:lang w:eastAsia="ko-KR"/>
              </w:rPr>
              <w:t xml:space="preserve">the starting position of a block </w:t>
            </w:r>
            <w:r>
              <w:rPr>
                <w:rFonts w:eastAsiaTheme="minorEastAsia"/>
                <w:kern w:val="0"/>
                <w:sz w:val="20"/>
              </w:rPr>
              <w:t>is determined by the parameter positionInDCI-cellDTRX</w:t>
            </w:r>
            <w:r>
              <w:rPr>
                <w:rFonts w:eastAsiaTheme="minorEastAsia"/>
                <w:color w:val="FF0000"/>
                <w:kern w:val="0"/>
                <w:sz w:val="20"/>
                <w:lang w:val="en-US"/>
              </w:rPr>
              <w:t xml:space="preserve"> </w:t>
            </w:r>
            <w:r>
              <w:rPr>
                <w:rFonts w:eastAsiaTheme="minorEastAsia"/>
                <w:color w:val="FF0000"/>
                <w:kern w:val="0"/>
                <w:sz w:val="20"/>
                <w:u w:val="single"/>
                <w:lang w:val="en-US"/>
              </w:rPr>
              <w:t>or positionInDCI-CHO</w:t>
            </w:r>
            <w:r>
              <w:rPr>
                <w:rFonts w:eastAsiaTheme="minorEastAsia"/>
                <w:color w:val="FF0000"/>
                <w:kern w:val="0"/>
                <w:sz w:val="20"/>
                <w:lang w:val="en-US"/>
              </w:rPr>
              <w:t xml:space="preserve"> </w:t>
            </w:r>
            <w:r>
              <w:rPr>
                <w:rFonts w:eastAsiaTheme="minorEastAsia"/>
                <w:kern w:val="0"/>
                <w:sz w:val="20"/>
                <w:lang w:eastAsia="ko-KR"/>
              </w:rPr>
              <w:t>provided</w:t>
            </w:r>
            <w:r>
              <w:rPr>
                <w:rFonts w:eastAsiaTheme="minorEastAsia"/>
                <w:kern w:val="0"/>
                <w:sz w:val="20"/>
                <w:lang w:val="en-US" w:eastAsia="ko-KR"/>
              </w:rPr>
              <w:t xml:space="preserve"> </w:t>
            </w:r>
            <w:r>
              <w:rPr>
                <w:rFonts w:eastAsiaTheme="minorEastAsia"/>
                <w:kern w:val="0"/>
                <w:sz w:val="20"/>
                <w:lang w:eastAsia="ko-KR"/>
              </w:rPr>
              <w:t>by higher layers for the UE.</w:t>
            </w:r>
          </w:p>
          <w:p>
            <w:r>
              <w:t xml:space="preserve">If the UE is configured with higher layer parameter </w:t>
            </w:r>
            <w:r>
              <w:rPr>
                <w:i/>
                <w:color w:val="FF0000"/>
                <w:u w:val="single"/>
              </w:rPr>
              <w:t xml:space="preserve">cellDTRX-RNTI, </w:t>
            </w:r>
            <w:r>
              <w:rPr>
                <w:rFonts w:ascii="Times New Roman Italic" w:hAnsi="Times New Roman Italic" w:cs="Times New Roman Italic"/>
                <w:i/>
                <w:color w:val="FF0000"/>
                <w:u w:val="single"/>
              </w:rPr>
              <w:t xml:space="preserve">dci-Format2-9 </w:t>
            </w:r>
            <w:r>
              <w:rPr>
                <w:iCs/>
                <w:color w:val="FF0000"/>
                <w:u w:val="single"/>
              </w:rPr>
              <w:t xml:space="preserve">and </w:t>
            </w:r>
            <w:r>
              <w:rPr>
                <w:rFonts w:ascii="Times New Roman Italic" w:hAnsi="Times New Roman Italic" w:cs="Times New Roman Italic" w:eastAsiaTheme="minorEastAsia"/>
                <w:i/>
                <w:iCs/>
                <w:color w:val="FF0000"/>
                <w:szCs w:val="20"/>
                <w:u w:val="single"/>
              </w:rPr>
              <w:t>positionInDCI-cellDTRX</w:t>
            </w:r>
            <w:r>
              <w:rPr>
                <w:u w:val="single"/>
              </w:rPr>
              <w:t>,</w:t>
            </w:r>
            <w:r>
              <w:t xml:space="preserve"> one or more blocks are configured for the UE </w:t>
            </w:r>
            <w:r>
              <w:rPr>
                <w:rFonts w:eastAsiaTheme="minorEastAsia"/>
                <w:color w:val="FF0000"/>
                <w:szCs w:val="20"/>
              </w:rPr>
              <w:t xml:space="preserve"> </w:t>
            </w:r>
            <w:r>
              <w:t>by higher layers, with t</w:t>
            </w:r>
            <w:r>
              <w:rPr>
                <w:lang w:eastAsia="ko-KR"/>
              </w:rPr>
              <w:t>he following field defined for each block:</w:t>
            </w:r>
          </w:p>
          <w:p>
            <w:pPr>
              <w:pStyle w:val="65"/>
              <w:spacing w:after="240" w:afterLines="100" w:line="240" w:lineRule="auto"/>
              <w:ind w:left="576" w:hanging="288"/>
              <w:rPr>
                <w:rFonts w:eastAsiaTheme="minorEastAsia"/>
                <w:color w:val="FF0000"/>
                <w:kern w:val="0"/>
                <w:sz w:val="20"/>
                <w:lang w:val="en-US" w:eastAsia="zh-CN"/>
              </w:rPr>
            </w:pPr>
            <w:r>
              <w:rPr>
                <w:rFonts w:eastAsiaTheme="minorEastAsia"/>
                <w:kern w:val="0"/>
                <w:sz w:val="20"/>
              </w:rPr>
              <w:t>-</w:t>
            </w:r>
            <w:r>
              <w:rPr>
                <w:rFonts w:eastAsiaTheme="minorEastAsia"/>
                <w:kern w:val="0"/>
                <w:sz w:val="20"/>
              </w:rPr>
              <w:tab/>
            </w:r>
            <w:r>
              <w:rPr>
                <w:rFonts w:eastAsiaTheme="minorEastAsia"/>
                <w:kern w:val="0"/>
                <w:sz w:val="20"/>
              </w:rPr>
              <w:t>Cell DTX/DRX indication - 2 bits</w:t>
            </w:r>
            <w:r>
              <w:rPr>
                <w:rFonts w:hint="eastAsia" w:eastAsiaTheme="minorEastAsia"/>
                <w:kern w:val="0"/>
                <w:sz w:val="20"/>
              </w:rPr>
              <w:t xml:space="preserve"> </w:t>
            </w:r>
            <w:r>
              <w:rPr>
                <w:rFonts w:eastAsiaTheme="minorEastAsia"/>
                <w:kern w:val="0"/>
                <w:sz w:val="20"/>
              </w:rPr>
              <w:t>i</w:t>
            </w:r>
            <w:r>
              <w:rPr>
                <w:rFonts w:hint="eastAsia" w:eastAsiaTheme="minorEastAsia"/>
                <w:kern w:val="0"/>
                <w:sz w:val="20"/>
              </w:rPr>
              <w:t>f</w:t>
            </w:r>
            <w:r>
              <w:rPr>
                <w:rFonts w:eastAsiaTheme="minorEastAsia"/>
                <w:kern w:val="0"/>
                <w:sz w:val="20"/>
              </w:rPr>
              <w:t xml:space="preserve"> XYZ, with the MSB corresponding to cell DTX configuration and the LSB corresponding to cell DRX configuration</w:t>
            </w:r>
            <w:r>
              <w:rPr>
                <w:rFonts w:hint="eastAsia" w:eastAsiaTheme="minorEastAsia"/>
                <w:kern w:val="0"/>
                <w:sz w:val="20"/>
              </w:rPr>
              <w:t>;</w:t>
            </w:r>
            <w:r>
              <w:rPr>
                <w:rFonts w:eastAsiaTheme="minorEastAsia"/>
                <w:kern w:val="0"/>
                <w:sz w:val="20"/>
              </w:rPr>
              <w:t xml:space="preserve"> otherwise 1 bit. </w:t>
            </w:r>
          </w:p>
          <w:p>
            <w:pPr>
              <w:rPr>
                <w:rFonts w:eastAsiaTheme="minorEastAsia"/>
                <w:color w:val="FF0000"/>
                <w:szCs w:val="20"/>
                <w:u w:val="single"/>
              </w:rPr>
            </w:pPr>
            <w:r>
              <w:rPr>
                <w:color w:val="FF0000"/>
                <w:u w:val="single"/>
              </w:rPr>
              <w:t xml:space="preserve">If the UE is configured with higher layer parameter </w:t>
            </w:r>
            <w:r>
              <w:rPr>
                <w:i/>
                <w:color w:val="FF0000"/>
                <w:u w:val="single"/>
              </w:rPr>
              <w:t xml:space="preserve">cellDTRX-RNTI, </w:t>
            </w:r>
            <w:r>
              <w:rPr>
                <w:rFonts w:ascii="Times New Roman Italic" w:hAnsi="Times New Roman Italic" w:cs="Times New Roman Italic"/>
                <w:i/>
                <w:color w:val="FF0000"/>
                <w:u w:val="single"/>
              </w:rPr>
              <w:t xml:space="preserve">dci-Format2-9 </w:t>
            </w:r>
            <w:r>
              <w:rPr>
                <w:iCs/>
                <w:color w:val="FF0000"/>
                <w:u w:val="single"/>
              </w:rPr>
              <w:t xml:space="preserve">and </w:t>
            </w:r>
            <w:r>
              <w:rPr>
                <w:rFonts w:ascii="Times New Roman Italic" w:hAnsi="Times New Roman Italic" w:cs="Times New Roman Italic" w:eastAsiaTheme="minorEastAsia"/>
                <w:i/>
                <w:iCs/>
                <w:color w:val="FF0000"/>
                <w:szCs w:val="20"/>
                <w:u w:val="single"/>
              </w:rPr>
              <w:t>positionInDCI-CHO</w:t>
            </w:r>
            <w:r>
              <w:rPr>
                <w:color w:val="FF0000"/>
                <w:u w:val="single"/>
              </w:rPr>
              <w:t>, one block is configured for the UE by higher layers, with t</w:t>
            </w:r>
            <w:r>
              <w:rPr>
                <w:color w:val="FF0000"/>
                <w:u w:val="single"/>
                <w:lang w:eastAsia="ko-KR"/>
              </w:rPr>
              <w:t>he following field defined for the block:</w:t>
            </w:r>
          </w:p>
          <w:p>
            <w:pPr>
              <w:pStyle w:val="65"/>
              <w:snapToGrid w:val="0"/>
              <w:spacing w:line="240" w:lineRule="auto"/>
              <w:ind w:left="600" w:leftChars="150" w:hanging="300" w:hangingChars="150"/>
              <w:rPr>
                <w:rFonts w:eastAsiaTheme="minorEastAsia"/>
                <w:kern w:val="0"/>
                <w:sz w:val="20"/>
                <w:u w:val="single"/>
              </w:rPr>
            </w:pPr>
            <w:r>
              <w:rPr>
                <w:rFonts w:eastAsiaTheme="minorEastAsia"/>
                <w:color w:val="FF0000"/>
                <w:kern w:val="0"/>
                <w:sz w:val="20"/>
                <w:u w:val="single"/>
                <w:lang w:val="en-US" w:eastAsia="zh-CN"/>
              </w:rPr>
              <w:t xml:space="preserve">-    NES CHO indication - </w:t>
            </w:r>
            <w:r>
              <w:rPr>
                <w:rFonts w:hint="default" w:eastAsiaTheme="minorEastAsia"/>
                <w:color w:val="FF0000"/>
                <w:kern w:val="0"/>
                <w:sz w:val="20"/>
                <w:u w:val="single"/>
                <w:lang w:val="en-US" w:eastAsia="zh-CN"/>
              </w:rPr>
              <w:t xml:space="preserve">1bit if </w:t>
            </w:r>
            <w:r>
              <w:rPr>
                <w:rFonts w:hint="default" w:ascii="Times New Roman Italic" w:hAnsi="Times New Roman Italic" w:cs="Times New Roman Italic" w:eastAsiaTheme="minorEastAsia"/>
                <w:i/>
                <w:iCs/>
                <w:color w:val="FF0000"/>
                <w:kern w:val="0"/>
                <w:sz w:val="20"/>
                <w:u w:val="single"/>
                <w:lang w:val="en-US" w:eastAsia="zh-CN"/>
              </w:rPr>
              <w:t xml:space="preserve">conditionalReconfiguration </w:t>
            </w:r>
            <w:r>
              <w:rPr>
                <w:rFonts w:hint="default" w:eastAsiaTheme="minorEastAsia"/>
                <w:color w:val="FF0000"/>
                <w:kern w:val="0"/>
                <w:sz w:val="20"/>
                <w:u w:val="single"/>
                <w:lang w:val="en-US" w:eastAsia="zh-CN"/>
              </w:rPr>
              <w:t xml:space="preserve">is configured and the </w:t>
            </w:r>
            <w:r>
              <w:rPr>
                <w:rFonts w:hint="default" w:ascii="Times New Roman Italic" w:hAnsi="Times New Roman Italic" w:cs="Times New Roman Italic" w:eastAsiaTheme="minorEastAsia"/>
                <w:i/>
                <w:iCs/>
                <w:color w:val="FF0000"/>
                <w:kern w:val="0"/>
                <w:sz w:val="20"/>
                <w:u w:val="single"/>
                <w:lang w:val="en-US" w:eastAsia="zh-CN"/>
              </w:rPr>
              <w:t xml:space="preserve">ServCellIndex  </w:t>
            </w:r>
            <w:r>
              <w:rPr>
                <w:rFonts w:hint="default" w:eastAsiaTheme="minorEastAsia"/>
                <w:color w:val="FF0000"/>
                <w:kern w:val="0"/>
                <w:sz w:val="20"/>
                <w:u w:val="single"/>
                <w:lang w:val="en-US" w:eastAsia="zh-CN"/>
              </w:rPr>
              <w:t>of this serving cell is 0</w:t>
            </w:r>
            <w:r>
              <w:rPr>
                <w:rFonts w:eastAsiaTheme="minorEastAsia"/>
                <w:color w:val="FF0000"/>
                <w:kern w:val="0"/>
                <w:sz w:val="20"/>
                <w:u w:val="single"/>
                <w:lang w:val="en-US" w:eastAsia="zh-CN"/>
              </w:rPr>
              <w:t>. </w:t>
            </w:r>
          </w:p>
          <w:p>
            <w:pPr>
              <w:pStyle w:val="65"/>
              <w:snapToGrid w:val="0"/>
              <w:spacing w:line="240" w:lineRule="auto"/>
              <w:ind w:left="576" w:hanging="288"/>
              <w:rPr>
                <w:rFonts w:eastAsiaTheme="minorEastAsia"/>
                <w:kern w:val="0"/>
                <w:sz w:val="20"/>
              </w:rPr>
            </w:pPr>
          </w:p>
          <w:p>
            <w:r>
              <w:t xml:space="preserve">The size of DCI format 2_9 is indicated by the higher layer parameter </w:t>
            </w:r>
            <w:r>
              <w:rPr>
                <w:i/>
              </w:rPr>
              <w:t>sizeDCI-2-9</w:t>
            </w:r>
            <w:r>
              <w:t>.</w:t>
            </w:r>
          </w:p>
          <w:p>
            <w:pPr>
              <w:jc w:val="both"/>
              <w:rPr>
                <w:szCs w:val="20"/>
              </w:rPr>
            </w:pPr>
            <w:r>
              <w:rPr>
                <w:szCs w:val="20"/>
              </w:rPr>
              <w:t>-------------------------------------------------------End of Text proposal --------------------------------------------------</w:t>
            </w:r>
          </w:p>
          <w:p>
            <w:pPr>
              <w:jc w:val="both"/>
              <w:rPr>
                <w:szCs w:val="20"/>
                <w:highlight w:val="none"/>
              </w:rPr>
            </w:pPr>
          </w:p>
          <w:p>
            <w:pPr>
              <w:rPr>
                <w:highlight w:val="none"/>
              </w:rPr>
            </w:pPr>
          </w:p>
          <w:p>
            <w:pPr>
              <w:jc w:val="both"/>
              <w:rPr>
                <w:rFonts w:ascii="Arial" w:hAnsi="Arial" w:cs="Arial"/>
                <w:sz w:val="24"/>
                <w:highlight w:val="none"/>
              </w:rPr>
            </w:pPr>
            <w:r>
              <w:rPr>
                <w:szCs w:val="20"/>
                <w:highlight w:val="none"/>
              </w:rPr>
              <w:t xml:space="preserve">-----------------------------------------Text proposal for TS38.213 for Alt </w:t>
            </w:r>
            <w:r>
              <w:rPr>
                <w:rFonts w:hint="default"/>
                <w:szCs w:val="20"/>
                <w:highlight w:val="none"/>
                <w:lang w:val="en-US"/>
              </w:rPr>
              <w:t>2</w:t>
            </w:r>
            <w:r>
              <w:rPr>
                <w:szCs w:val="20"/>
                <w:highlight w:val="none"/>
              </w:rPr>
              <w:t xml:space="preserve"> ---------------------------------------------</w:t>
            </w:r>
          </w:p>
          <w:p>
            <w:pPr>
              <w:jc w:val="both"/>
              <w:rPr>
                <w:rFonts w:hint="default" w:ascii="Times New Roman Regular" w:hAnsi="Times New Roman Regular" w:cs="Times New Roman Regular"/>
                <w:sz w:val="20"/>
                <w:szCs w:val="20"/>
                <w:highlight w:val="none"/>
              </w:rPr>
            </w:pPr>
            <w:r>
              <w:rPr>
                <w:rFonts w:hint="default" w:ascii="Times New Roman Regular" w:hAnsi="Times New Roman Regular" w:cs="Times New Roman Regular"/>
                <w:sz w:val="20"/>
                <w:szCs w:val="20"/>
                <w:highlight w:val="none"/>
              </w:rPr>
              <w:t>TS 38.213</w:t>
            </w:r>
          </w:p>
          <w:p>
            <w:pPr>
              <w:jc w:val="center"/>
              <w:rPr>
                <w:rFonts w:ascii="Arial" w:hAnsi="Arial" w:cs="Arial"/>
                <w:color w:val="FF0000"/>
                <w:sz w:val="24"/>
              </w:rPr>
            </w:pPr>
            <w:r>
              <w:rPr>
                <w:rFonts w:ascii="Arial" w:hAnsi="Arial" w:cs="Arial"/>
                <w:color w:val="FF0000"/>
                <w:sz w:val="24"/>
              </w:rPr>
              <w:t>&lt; Unchanged parts are omitted &gt;</w:t>
            </w:r>
          </w:p>
          <w:p>
            <w:r>
              <w:t>11.5</w:t>
            </w:r>
            <w:r>
              <w:tab/>
            </w:r>
            <w:r>
              <w:t>Adaptation of cell operation</w:t>
            </w:r>
          </w:p>
          <w:p>
            <w:pPr>
              <w:rPr>
                <w:highlight w:val="yellow"/>
                <w:u w:val="single"/>
              </w:rPr>
            </w:pPr>
            <w:r>
              <w:t xml:space="preserve">A UE configured for operation on a serving cell according to one or both of a cell DTX operation by </w:t>
            </w:r>
            <w:r>
              <w:rPr>
                <w:i/>
                <w:iCs/>
              </w:rPr>
              <w:t>cellDTXConfig</w:t>
            </w:r>
            <w:r>
              <w:t xml:space="preserve"> and a cell DRX operation by </w:t>
            </w:r>
            <w:r>
              <w:rPr>
                <w:i/>
                <w:iCs/>
              </w:rPr>
              <w:t>cellDRXConfig</w:t>
            </w:r>
            <w:r>
              <w:t xml:space="preserve"> for the serving cell [11, TS 38.331], can be additionally provided by </w:t>
            </w:r>
            <w:r>
              <w:rPr>
                <w:i/>
                <w:iCs/>
              </w:rPr>
              <w:t>dci-Format2-9</w:t>
            </w:r>
            <w:r>
              <w:t xml:space="preserve"> a Type3-PDCCH CSS set to monitor PDCCH for detection of DCI format 2_9 as described in clause 1</w:t>
            </w:r>
            <w:r>
              <w:rPr>
                <w:highlight w:val="none"/>
              </w:rPr>
              <w:t>0.1</w:t>
            </w:r>
            <w:r>
              <w:rPr>
                <w:color w:val="FF0000"/>
                <w:highlight w:val="none"/>
                <w:u w:val="single"/>
              </w:rPr>
              <w:t xml:space="preserve">, </w:t>
            </w:r>
            <w:r>
              <w:rPr>
                <w:iCs/>
                <w:color w:val="FF0000"/>
                <w:highlight w:val="none"/>
                <w:u w:val="single"/>
              </w:rPr>
              <w:t xml:space="preserve">and </w:t>
            </w:r>
            <w:r>
              <w:rPr>
                <w:color w:val="FF0000"/>
                <w:highlight w:val="none"/>
                <w:u w:val="single"/>
              </w:rPr>
              <w:t xml:space="preserve">a location in DCI format 2_9 by </w:t>
            </w:r>
            <w:r>
              <w:rPr>
                <w:i/>
                <w:iCs/>
                <w:color w:val="FF0000"/>
                <w:highlight w:val="none"/>
                <w:u w:val="single"/>
              </w:rPr>
              <w:t>position-inDCI-</w:t>
            </w:r>
            <w:r>
              <w:rPr>
                <w:rFonts w:hint="default"/>
                <w:i/>
                <w:iCs/>
                <w:color w:val="FF0000"/>
                <w:highlight w:val="none"/>
                <w:u w:val="single"/>
              </w:rPr>
              <w:t>cellDTRX</w:t>
            </w:r>
            <w:r>
              <w:rPr>
                <w:rFonts w:hint="default"/>
                <w:i/>
                <w:iCs/>
                <w:color w:val="FF0000"/>
                <w:highlight w:val="none"/>
                <w:u w:val="single"/>
                <w:lang w:val="en-US"/>
              </w:rPr>
              <w:t xml:space="preserve"> </w:t>
            </w:r>
            <w:r>
              <w:rPr>
                <w:color w:val="FF0000"/>
                <w:highlight w:val="none"/>
                <w:u w:val="single"/>
              </w:rPr>
              <w:t>of a cell DTX/DRX indicator field for the serving cell</w:t>
            </w:r>
            <w:r>
              <w:rPr>
                <w:color w:val="FF0000"/>
                <w:szCs w:val="20"/>
                <w:highlight w:val="none"/>
                <w:u w:val="single"/>
              </w:rPr>
              <w:t>,</w:t>
            </w:r>
            <w:r>
              <w:rPr>
                <w:highlight w:val="none"/>
                <w:u w:val="single"/>
              </w:rPr>
              <w:t xml:space="preserve"> </w:t>
            </w:r>
          </w:p>
          <w:p>
            <w:pPr>
              <w:pStyle w:val="65"/>
              <w:snapToGrid w:val="0"/>
              <w:spacing w:after="360" w:afterLines="150" w:line="240" w:lineRule="auto"/>
              <w:ind w:left="576" w:hanging="288"/>
              <w:rPr>
                <w:sz w:val="20"/>
              </w:rPr>
            </w:pPr>
            <w:r>
              <w:t>-</w:t>
            </w:r>
            <w:r>
              <w:tab/>
            </w:r>
            <w:r>
              <w:rPr>
                <w:sz w:val="20"/>
              </w:rPr>
              <w:t>if the UE is configured with both cell DTX operation and cell DRX operation for the serving cell, the cell DTX/DRX indicator field includes two bits where the first bit indicates the cell DTX operation and the second bit indicates the cell DRX operation</w:t>
            </w:r>
          </w:p>
          <w:p>
            <w:pPr>
              <w:pStyle w:val="65"/>
              <w:snapToGrid w:val="0"/>
              <w:spacing w:after="240" w:afterLines="100" w:line="240" w:lineRule="auto"/>
              <w:ind w:left="576" w:hanging="288"/>
              <w:rPr>
                <w:sz w:val="20"/>
              </w:rPr>
            </w:pPr>
            <w:r>
              <w:rPr>
                <w:sz w:val="20"/>
              </w:rPr>
              <w:t>-</w:t>
            </w:r>
            <w:r>
              <w:rPr>
                <w:sz w:val="20"/>
              </w:rPr>
              <w:tab/>
            </w:r>
            <w:r>
              <w:rPr>
                <w:sz w:val="20"/>
              </w:rPr>
              <w:t>if the UE is configured with only one of the cell DTX operation and cell DRX operation for the serving cell,</w:t>
            </w:r>
            <w:r>
              <w:rPr>
                <w:sz w:val="20"/>
                <w:lang w:val="en-US"/>
              </w:rPr>
              <w:t xml:space="preserve"> </w:t>
            </w:r>
            <w:r>
              <w:rPr>
                <w:color w:val="FF0000"/>
                <w:sz w:val="20"/>
                <w:lang w:val="en-US"/>
              </w:rPr>
              <w:t xml:space="preserve"> </w:t>
            </w:r>
            <w:r>
              <w:rPr>
                <w:sz w:val="20"/>
              </w:rPr>
              <w:t>the cell DTX/DRX indicator field includes one bit indicating one of the cell DTX operation and cell DRX operation, respectively, for the serving cell</w:t>
            </w:r>
          </w:p>
          <w:p>
            <w:pPr>
              <w:pStyle w:val="65"/>
              <w:snapToGrid w:val="0"/>
              <w:spacing w:after="240" w:afterLines="100" w:line="240" w:lineRule="auto"/>
              <w:ind w:left="576" w:hanging="288"/>
              <w:rPr>
                <w:sz w:val="20"/>
              </w:rPr>
            </w:pPr>
            <w:r>
              <w:rPr>
                <w:sz w:val="20"/>
              </w:rPr>
              <w:t>-</w:t>
            </w:r>
            <w:r>
              <w:rPr>
                <w:sz w:val="20"/>
              </w:rPr>
              <w:tab/>
            </w:r>
            <w:r>
              <w:rPr>
                <w:sz w:val="20"/>
              </w:rPr>
              <w:t xml:space="preserve">a </w:t>
            </w:r>
            <w:r>
              <w:rPr>
                <w:sz w:val="20"/>
                <w:lang w:val="en-US"/>
              </w:rPr>
              <w:t>'</w:t>
            </w:r>
            <w:r>
              <w:rPr>
                <w:sz w:val="20"/>
              </w:rPr>
              <w:t>0</w:t>
            </w:r>
            <w:r>
              <w:rPr>
                <w:sz w:val="20"/>
                <w:lang w:val="en-US"/>
              </w:rPr>
              <w:t>'</w:t>
            </w:r>
            <w:r>
              <w:rPr>
                <w:sz w:val="20"/>
              </w:rPr>
              <w:t xml:space="preserve"> value for a bit of the cell DTX/DRX indicator field indicates </w:t>
            </w:r>
            <w:r>
              <w:rPr>
                <w:rFonts w:hint="eastAsia"/>
                <w:sz w:val="20"/>
                <w:lang w:eastAsia="zh-CN"/>
              </w:rPr>
              <w:t xml:space="preserve">deactivation of cell </w:t>
            </w:r>
            <w:r>
              <w:rPr>
                <w:sz w:val="20"/>
              </w:rPr>
              <w:t>DTX or of cell DRX</w:t>
            </w:r>
          </w:p>
          <w:p>
            <w:pPr>
              <w:pStyle w:val="65"/>
              <w:snapToGrid w:val="0"/>
              <w:spacing w:after="240" w:afterLines="100" w:line="240" w:lineRule="auto"/>
              <w:ind w:left="576" w:hanging="288"/>
              <w:rPr>
                <w:sz w:val="20"/>
              </w:rPr>
            </w:pPr>
            <w:r>
              <w:rPr>
                <w:sz w:val="20"/>
              </w:rPr>
              <w:t>-</w:t>
            </w:r>
            <w:r>
              <w:rPr>
                <w:sz w:val="20"/>
              </w:rPr>
              <w:tab/>
            </w:r>
            <w:r>
              <w:rPr>
                <w:sz w:val="20"/>
              </w:rPr>
              <w:t xml:space="preserve">a </w:t>
            </w:r>
            <w:r>
              <w:rPr>
                <w:sz w:val="20"/>
                <w:lang w:val="en-US"/>
              </w:rPr>
              <w:t>'</w:t>
            </w:r>
            <w:r>
              <w:rPr>
                <w:sz w:val="20"/>
              </w:rPr>
              <w:t>1</w:t>
            </w:r>
            <w:r>
              <w:rPr>
                <w:sz w:val="20"/>
                <w:lang w:val="en-US"/>
              </w:rPr>
              <w:t>'</w:t>
            </w:r>
            <w:r>
              <w:rPr>
                <w:sz w:val="20"/>
              </w:rPr>
              <w:t xml:space="preserve"> value for a bit of the cell DTX/DRX indicator field indicates activation of cell DTX or of cell DRX</w:t>
            </w:r>
          </w:p>
          <w:p>
            <w:pPr>
              <w:pStyle w:val="65"/>
              <w:snapToGrid w:val="0"/>
              <w:spacing w:after="240" w:afterLines="100" w:line="240" w:lineRule="auto"/>
              <w:ind w:left="576" w:hanging="288"/>
              <w:rPr>
                <w:sz w:val="20"/>
              </w:rPr>
            </w:pPr>
            <w:r>
              <w:rPr>
                <w:sz w:val="20"/>
              </w:rPr>
              <w:t>-</w:t>
            </w:r>
            <w:r>
              <w:rPr>
                <w:sz w:val="20"/>
              </w:rPr>
              <w:tab/>
            </w:r>
            <w:r>
              <w:rPr>
                <w:sz w:val="20"/>
              </w:rPr>
              <w:t>if the serving cell is configured with a SUL carrier, the cell DTX/DRX indicator field indication for activation or deactivation of cell DRX applies to both the UL carrier and the SUL carrier</w:t>
            </w:r>
          </w:p>
          <w:p>
            <w:r>
              <w:t>A UE does not expect to monitor PDCCH for detection of DCI format 2_9 on more than one serving cells.</w:t>
            </w:r>
          </w:p>
          <w:p>
            <w:pPr>
              <w:jc w:val="center"/>
              <w:rPr>
                <w:rFonts w:ascii="Arial" w:hAnsi="Arial" w:cs="Arial"/>
                <w:sz w:val="24"/>
              </w:rPr>
            </w:pPr>
            <w:r>
              <w:rPr>
                <w:rFonts w:ascii="Arial" w:hAnsi="Arial" w:cs="Arial"/>
                <w:color w:val="FF0000"/>
                <w:sz w:val="24"/>
              </w:rPr>
              <w:t>&lt; Unchanged parts are omitted &gt;</w:t>
            </w:r>
          </w:p>
          <w:p>
            <w:pPr>
              <w:jc w:val="both"/>
              <w:rPr>
                <w:szCs w:val="20"/>
              </w:rPr>
            </w:pPr>
            <w:r>
              <w:rPr>
                <w:szCs w:val="20"/>
              </w:rPr>
              <w:t>-------------------------------------------------------End of Text proposal --------------------------------------------------</w:t>
            </w:r>
          </w:p>
          <w:p>
            <w:pPr>
              <w:jc w:val="both"/>
              <w:rPr>
                <w:szCs w:val="20"/>
              </w:rPr>
            </w:pPr>
          </w:p>
        </w:tc>
      </w:tr>
    </w:tbl>
    <w:p>
      <w:pPr>
        <w:jc w:val="both"/>
        <w:rPr>
          <w:szCs w:val="20"/>
        </w:rPr>
      </w:pPr>
    </w:p>
    <w:p>
      <w:pPr>
        <w:jc w:val="both"/>
        <w:rPr>
          <w:rFonts w:hint="default" w:ascii="Times New Roman Bold" w:hAnsi="Times New Roman Bold" w:cs="Times New Roman Bold"/>
          <w:b/>
          <w:bCs/>
          <w:szCs w:val="20"/>
          <w:lang w:val="en-US"/>
        </w:rPr>
      </w:pPr>
      <w:r>
        <w:rPr>
          <w:rFonts w:hint="default" w:ascii="Times New Roman Bold" w:hAnsi="Times New Roman Bold" w:cs="Times New Roman Bold"/>
          <w:b/>
          <w:bCs/>
          <w:szCs w:val="20"/>
          <w:lang w:val="en-US"/>
        </w:rPr>
        <w:t xml:space="preserve">Proposal 2: Consider the TPs in sec 2.1 or 2.2 to support NES CHO indication in DCI format 2_9. </w:t>
      </w:r>
    </w:p>
    <w:p>
      <w:pPr>
        <w:pStyle w:val="2"/>
      </w:pPr>
      <w:r>
        <w:t xml:space="preserve"> Impact on RRC parameters</w:t>
      </w:r>
    </w:p>
    <w:p>
      <w:r>
        <w:t xml:space="preserve">In the current RRC parameter list sent to RAN2 [2], Row 11 (cellDTRX-DCI-config) and 13(cellDTRX-RNTI ) are marked as stable, with the following description only covering cell DTX/DRX activation/deactivation function.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2596"/>
        <w:gridCol w:w="5900"/>
      </w:tblGrid>
      <w:tr>
        <w:tc>
          <w:tcPr>
            <w:tcW w:w="740" w:type="dxa"/>
          </w:tcPr>
          <w:p>
            <w:r>
              <w:t>Row</w:t>
            </w:r>
          </w:p>
        </w:tc>
        <w:tc>
          <w:tcPr>
            <w:tcW w:w="2596" w:type="dxa"/>
          </w:tcPr>
          <w:p>
            <w:r>
              <w:t>Parameter name in the spec</w:t>
            </w:r>
          </w:p>
        </w:tc>
        <w:tc>
          <w:tcPr>
            <w:tcW w:w="5900" w:type="dxa"/>
          </w:tcPr>
          <w:p>
            <w:r>
              <w:t>Description</w:t>
            </w:r>
          </w:p>
        </w:tc>
      </w:tr>
      <w:tr>
        <w:tc>
          <w:tcPr>
            <w:tcW w:w="740" w:type="dxa"/>
          </w:tcPr>
          <w:p>
            <w:r>
              <w:t>11</w:t>
            </w:r>
          </w:p>
        </w:tc>
        <w:tc>
          <w:tcPr>
            <w:tcW w:w="2596" w:type="dxa"/>
          </w:tcPr>
          <w:p>
            <w:r>
              <w:t>cellDTRX-DCI-config</w:t>
            </w:r>
          </w:p>
        </w:tc>
        <w:tc>
          <w:tcPr>
            <w:tcW w:w="5900" w:type="dxa"/>
          </w:tcPr>
          <w:p>
            <w:r>
              <w:t>Include the configuration for new DCI format 2_9 for activation/deactivation of cell DTX/DRX configuration of one or multiple serving cells.</w:t>
            </w:r>
          </w:p>
        </w:tc>
      </w:tr>
      <w:tr>
        <w:tc>
          <w:tcPr>
            <w:tcW w:w="740" w:type="dxa"/>
          </w:tcPr>
          <w:p>
            <w:r>
              <w:t>13</w:t>
            </w:r>
          </w:p>
        </w:tc>
        <w:tc>
          <w:tcPr>
            <w:tcW w:w="2596" w:type="dxa"/>
          </w:tcPr>
          <w:p>
            <w:r>
              <w:t xml:space="preserve">cellDTRX-RNTI </w:t>
            </w:r>
          </w:p>
        </w:tc>
        <w:tc>
          <w:tcPr>
            <w:tcW w:w="5900" w:type="dxa"/>
          </w:tcPr>
          <w:p>
            <w:r>
              <w:t>Configure the RNTI value for scrambling CRC of DCI format 2_9 for activating and/or deactivating Cell DTX/DRX.</w:t>
            </w:r>
          </w:p>
        </w:tc>
      </w:tr>
    </w:tbl>
    <w:p/>
    <w:p/>
    <w:p>
      <w:r>
        <w:t xml:space="preserve">With the introduction of the CHO bit, at least the description part should be updated to also include the CHO indication. Also it would be better to change the parameter name to a more generic one. </w:t>
      </w:r>
    </w:p>
    <w:p>
      <w:pPr>
        <w:rPr>
          <w:rFonts w:ascii="Times New Roman Bold" w:hAnsi="Times New Roman Bold" w:cs="Times New Roman Bold"/>
          <w:b/>
          <w:bCs/>
        </w:rPr>
      </w:pPr>
      <w:r>
        <w:rPr>
          <w:rFonts w:ascii="Times New Roman Bold" w:hAnsi="Times New Roman Bold" w:cs="Times New Roman Bold"/>
          <w:b/>
          <w:bCs/>
        </w:rPr>
        <w:t xml:space="preserve">Proposal 4: Adopt the following change to the RRC parameter list.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2596"/>
        <w:gridCol w:w="5900"/>
      </w:tblGrid>
      <w:tr>
        <w:tc>
          <w:tcPr>
            <w:tcW w:w="740" w:type="dxa"/>
          </w:tcPr>
          <w:p>
            <w:r>
              <w:t>Row</w:t>
            </w:r>
          </w:p>
        </w:tc>
        <w:tc>
          <w:tcPr>
            <w:tcW w:w="2596" w:type="dxa"/>
          </w:tcPr>
          <w:p>
            <w:r>
              <w:t>Parameter name in the spec</w:t>
            </w:r>
          </w:p>
        </w:tc>
        <w:tc>
          <w:tcPr>
            <w:tcW w:w="5900" w:type="dxa"/>
          </w:tcPr>
          <w:p>
            <w:r>
              <w:t>Description</w:t>
            </w:r>
          </w:p>
        </w:tc>
      </w:tr>
      <w:tr>
        <w:tc>
          <w:tcPr>
            <w:tcW w:w="740" w:type="dxa"/>
          </w:tcPr>
          <w:p>
            <w:r>
              <w:t>11</w:t>
            </w:r>
          </w:p>
        </w:tc>
        <w:tc>
          <w:tcPr>
            <w:tcW w:w="2596" w:type="dxa"/>
          </w:tcPr>
          <w:p>
            <w:r>
              <w:t>cell</w:t>
            </w:r>
            <w:r>
              <w:rPr>
                <w:color w:val="FF0000"/>
                <w:u w:val="single"/>
              </w:rPr>
              <w:t>ES</w:t>
            </w:r>
            <w:r>
              <w:rPr>
                <w:strike/>
                <w:color w:val="FF0000"/>
              </w:rPr>
              <w:t>DTRX</w:t>
            </w:r>
            <w:r>
              <w:t>-DCI-config</w:t>
            </w:r>
          </w:p>
        </w:tc>
        <w:tc>
          <w:tcPr>
            <w:tcW w:w="5900" w:type="dxa"/>
          </w:tcPr>
          <w:p>
            <w:r>
              <w:t>Include the configuration for new DCI format 2_9 for activation/deactivation of cell DTX/DRX configuration of one or multiple serving cells</w:t>
            </w:r>
            <w:r>
              <w:rPr>
                <w:color w:val="FF0000"/>
                <w:u w:val="single"/>
              </w:rPr>
              <w:t>, or notifying the serving cell is entering NES mode to trigger CHO enhancement of NES</w:t>
            </w:r>
            <w:r>
              <w:rPr>
                <w:u w:val="single"/>
              </w:rPr>
              <w:t>.</w:t>
            </w:r>
          </w:p>
        </w:tc>
      </w:tr>
      <w:tr>
        <w:tc>
          <w:tcPr>
            <w:tcW w:w="740" w:type="dxa"/>
          </w:tcPr>
          <w:p>
            <w:r>
              <w:t>13</w:t>
            </w:r>
          </w:p>
        </w:tc>
        <w:tc>
          <w:tcPr>
            <w:tcW w:w="2596" w:type="dxa"/>
          </w:tcPr>
          <w:p>
            <w:r>
              <w:t>cell</w:t>
            </w:r>
            <w:r>
              <w:rPr>
                <w:color w:val="FF0000"/>
                <w:u w:val="single"/>
              </w:rPr>
              <w:t>ES</w:t>
            </w:r>
            <w:r>
              <w:rPr>
                <w:strike/>
                <w:color w:val="FF0000"/>
              </w:rPr>
              <w:t>DTRX</w:t>
            </w:r>
            <w:r>
              <w:t xml:space="preserve">-RNTI </w:t>
            </w:r>
          </w:p>
        </w:tc>
        <w:tc>
          <w:tcPr>
            <w:tcW w:w="5900" w:type="dxa"/>
          </w:tcPr>
          <w:p>
            <w:r>
              <w:t>Configure the RNTI value for scrambling CRC of DCI format 2_9 for activating and/or deactivating Cell DTX/DRX</w:t>
            </w:r>
            <w:r>
              <w:rPr>
                <w:color w:val="FF0000"/>
                <w:u w:val="single"/>
              </w:rPr>
              <w:t>, or notifying the serving cell is entering NES mode to trigger CHO enhancement of NES</w:t>
            </w:r>
            <w:r>
              <w:t xml:space="preserve"> .</w:t>
            </w:r>
          </w:p>
        </w:tc>
      </w:tr>
    </w:tbl>
    <w:p/>
    <w:p>
      <w:r>
        <w:t xml:space="preserve">Also, as mentioned in Proposal 4, an additional starting position will be introduced in the RRC parameter list. </w:t>
      </w:r>
    </w:p>
    <w:p>
      <w:pPr>
        <w:rPr>
          <w:rFonts w:ascii="Times New Roman Bold" w:hAnsi="Times New Roman Bold" w:cs="Times New Roman Bold"/>
          <w:b/>
          <w:bCs/>
        </w:rPr>
      </w:pPr>
      <w:r>
        <w:rPr>
          <w:rFonts w:ascii="Times New Roman Bold" w:hAnsi="Times New Roman Bold" w:cs="Times New Roman Bold"/>
          <w:b/>
          <w:bCs/>
        </w:rPr>
        <w:t xml:space="preserve">Proposal 5: Add the following Row in RRC parameter list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
        <w:gridCol w:w="1753"/>
        <w:gridCol w:w="4279"/>
        <w:gridCol w:w="1324"/>
        <w:gridCol w:w="1286"/>
      </w:tblGrid>
      <w:tr>
        <w:tc>
          <w:tcPr>
            <w:tcW w:w="594" w:type="dxa"/>
          </w:tcPr>
          <w:p>
            <w:r>
              <w:t>Row</w:t>
            </w:r>
          </w:p>
        </w:tc>
        <w:tc>
          <w:tcPr>
            <w:tcW w:w="1753" w:type="dxa"/>
          </w:tcPr>
          <w:p>
            <w:r>
              <w:t>Parameter name in the spec</w:t>
            </w:r>
          </w:p>
        </w:tc>
        <w:tc>
          <w:tcPr>
            <w:tcW w:w="4279" w:type="dxa"/>
          </w:tcPr>
          <w:p>
            <w:r>
              <w:t>Description</w:t>
            </w:r>
          </w:p>
        </w:tc>
        <w:tc>
          <w:tcPr>
            <w:tcW w:w="1324" w:type="dxa"/>
          </w:tcPr>
          <w:p/>
        </w:tc>
        <w:tc>
          <w:tcPr>
            <w:tcW w:w="1286" w:type="dxa"/>
          </w:tcPr>
          <w:p/>
        </w:tc>
      </w:tr>
      <w:tr>
        <w:tc>
          <w:tcPr>
            <w:tcW w:w="594" w:type="dxa"/>
          </w:tcPr>
          <w:p>
            <w:r>
              <w:t>19</w:t>
            </w:r>
          </w:p>
        </w:tc>
        <w:tc>
          <w:tcPr>
            <w:tcW w:w="1753" w:type="dxa"/>
          </w:tcPr>
          <w:p>
            <w:r>
              <w:t>positionInDCI-CHO</w:t>
            </w:r>
          </w:p>
        </w:tc>
        <w:tc>
          <w:tcPr>
            <w:tcW w:w="4279" w:type="dxa"/>
          </w:tcPr>
          <w:p>
            <w:r>
              <w:t>Configure the starting bit position of an information block corresponding to CHO indication for the serving cell of DCI format 2_9</w:t>
            </w:r>
          </w:p>
        </w:tc>
        <w:tc>
          <w:tcPr>
            <w:tcW w:w="1324" w:type="dxa"/>
          </w:tcPr>
          <w:p>
            <w:pPr>
              <w:jc w:val="both"/>
            </w:pPr>
            <w:r>
              <w:t>0..[sizeDCI-2-9]-1</w:t>
            </w:r>
          </w:p>
        </w:tc>
        <w:tc>
          <w:tcPr>
            <w:tcW w:w="1286" w:type="dxa"/>
          </w:tcPr>
          <w:p>
            <w:pPr>
              <w:jc w:val="both"/>
            </w:pPr>
            <w:r>
              <w:t>Per serving cell</w:t>
            </w:r>
          </w:p>
        </w:tc>
      </w:tr>
    </w:tbl>
    <w:p/>
    <w:p>
      <w:pPr>
        <w:pStyle w:val="2"/>
      </w:pPr>
      <w:r>
        <w:t xml:space="preserve"> Conclusions</w:t>
      </w:r>
    </w:p>
    <w:p>
      <w:pPr>
        <w:keepNext w:val="0"/>
        <w:keepLines w:val="0"/>
        <w:widowControl/>
        <w:suppressLineNumbers w:val="0"/>
        <w:jc w:val="left"/>
        <w:rPr>
          <w:rFonts w:ascii="Times New Roman Bold" w:hAnsi="Times New Roman Bold" w:cs="Times New Roman Bold"/>
          <w:b/>
          <w:bCs/>
          <w:szCs w:val="20"/>
        </w:rPr>
      </w:pPr>
      <w:r>
        <w:rPr>
          <w:rFonts w:ascii="Times New Roman Bold" w:hAnsi="Times New Roman Bold" w:cs="Times New Roman Bold"/>
          <w:b/>
          <w:bCs/>
          <w:szCs w:val="20"/>
        </w:rPr>
        <w:t xml:space="preserve">Observation: </w:t>
      </w:r>
      <w:r>
        <w:rPr>
          <w:rFonts w:hint="eastAsia" w:ascii="Times New Roman Bold" w:hAnsi="Times New Roman Bold" w:cs="Times New Roman Bold"/>
          <w:b/>
          <w:bCs/>
          <w:szCs w:val="20"/>
        </w:rPr>
        <w:t>Alt</w:t>
      </w:r>
      <w:r>
        <w:rPr>
          <w:rFonts w:ascii="Times New Roman Bold" w:hAnsi="Times New Roman Bold" w:cs="Times New Roman Bold"/>
          <w:b/>
          <w:bCs/>
          <w:szCs w:val="20"/>
        </w:rPr>
        <w:t xml:space="preserve">hough </w:t>
      </w:r>
      <w:r>
        <w:rPr>
          <w:b/>
          <w:bCs/>
          <w:szCs w:val="20"/>
        </w:rPr>
        <w:t>CHO can only be configured in PCell</w:t>
      </w:r>
      <w:r>
        <w:rPr>
          <w:rStyle w:val="55"/>
          <w:rFonts w:hint="default" w:ascii="Times New Roman" w:hAnsi="Times New Roman" w:eastAsia="Helvetica" w:cs="Times New Roman"/>
          <w:b/>
          <w:bCs/>
          <w:i w:val="0"/>
          <w:iCs w:val="0"/>
          <w:caps w:val="0"/>
          <w:color w:val="auto"/>
          <w:spacing w:val="0"/>
          <w:kern w:val="0"/>
          <w:sz w:val="20"/>
          <w:szCs w:val="20"/>
          <w:u w:val="none"/>
          <w:lang w:val="en-US" w:eastAsia="zh-CN" w:bidi="ar"/>
        </w:rPr>
        <w:t> </w:t>
      </w:r>
      <w:r>
        <w:rPr>
          <w:rFonts w:hint="default" w:ascii="Times New Roman" w:hAnsi="Times New Roman" w:eastAsia="Helvetica" w:cs="Times New Roman"/>
          <w:b/>
          <w:bCs/>
          <w:i w:val="0"/>
          <w:iCs w:val="0"/>
          <w:caps w:val="0"/>
          <w:color w:val="auto"/>
          <w:spacing w:val="0"/>
          <w:kern w:val="0"/>
          <w:sz w:val="20"/>
          <w:szCs w:val="20"/>
          <w:u w:val="none"/>
          <w:lang w:val="en-US" w:eastAsia="zh-CN" w:bidi="ar"/>
        </w:rPr>
        <w:t>(</w:t>
      </w:r>
      <w:r>
        <w:rPr>
          <w:rFonts w:hint="default" w:ascii="Times New Roman" w:hAnsi="Times New Roman" w:eastAsia="Helvetica" w:cs="Times New Roman"/>
          <w:b/>
          <w:bCs/>
          <w:i/>
          <w:iCs/>
          <w:caps w:val="0"/>
          <w:color w:val="auto"/>
          <w:spacing w:val="0"/>
          <w:kern w:val="0"/>
          <w:sz w:val="20"/>
          <w:szCs w:val="20"/>
          <w:u w:val="none"/>
          <w:lang w:val="en-US" w:eastAsia="zh-CN" w:bidi="ar"/>
        </w:rPr>
        <w:t>ServCellIndex</w:t>
      </w:r>
      <w:r>
        <w:rPr>
          <w:rFonts w:hint="default" w:ascii="Times New Roman" w:hAnsi="Times New Roman" w:eastAsia="Helvetica" w:cs="Times New Roman"/>
          <w:b/>
          <w:bCs/>
          <w:i w:val="0"/>
          <w:iCs w:val="0"/>
          <w:caps w:val="0"/>
          <w:color w:val="auto"/>
          <w:spacing w:val="0"/>
          <w:kern w:val="0"/>
          <w:sz w:val="20"/>
          <w:szCs w:val="20"/>
          <w:u w:val="none"/>
          <w:lang w:val="en-US" w:eastAsia="zh-CN" w:bidi="ar"/>
        </w:rPr>
        <w:t> is 0 according to TS 38.331)</w:t>
      </w:r>
      <w:r>
        <w:rPr>
          <w:b/>
          <w:bCs/>
          <w:szCs w:val="20"/>
        </w:rPr>
        <w:t>, the serving cell where UE is monitoring the DCI format 2_9 might not be its PCell because the UE only monitors DCI format 2_9 in one serving cell. Thus, UE needs to be indicated for a position in the DCI to monitor for the CHO indication corresponding to its PCell.</w:t>
      </w:r>
    </w:p>
    <w:p>
      <w:pPr>
        <w:jc w:val="both"/>
        <w:rPr>
          <w:rFonts w:ascii="Times New Roman Bold" w:hAnsi="Times New Roman Bold" w:cs="Times New Roman Bold"/>
          <w:b/>
          <w:bCs/>
          <w:szCs w:val="20"/>
        </w:rPr>
      </w:pPr>
    </w:p>
    <w:p>
      <w:pPr>
        <w:jc w:val="both"/>
        <w:rPr>
          <w:rFonts w:ascii="Times New Roman Bold" w:hAnsi="Times New Roman Bold" w:cs="Times New Roman Bold"/>
          <w:b/>
          <w:bCs/>
          <w:szCs w:val="20"/>
        </w:rPr>
      </w:pPr>
      <w:r>
        <w:rPr>
          <w:rFonts w:ascii="Times New Roman Bold" w:hAnsi="Times New Roman Bold" w:cs="Times New Roman Bold"/>
          <w:b/>
          <w:bCs/>
          <w:szCs w:val="20"/>
        </w:rPr>
        <w:t xml:space="preserve">Proposal 1: The following alternatives can be considered to support CHO indication in DCI format 2_9: </w:t>
      </w:r>
    </w:p>
    <w:p>
      <w:pPr>
        <w:jc w:val="both"/>
        <w:rPr>
          <w:b/>
          <w:bCs/>
          <w:szCs w:val="20"/>
        </w:rPr>
      </w:pPr>
      <w:r>
        <w:rPr>
          <w:b/>
          <w:bCs/>
          <w:szCs w:val="20"/>
        </w:rPr>
        <w:t xml:space="preserve">Alt 1: The one bit for CHO indication is added in each block of cell DTX/DRX activation/deactivation. The starting position </w:t>
      </w:r>
      <w:r>
        <w:rPr>
          <w:rFonts w:ascii="Times New Roman Bold Italic" w:hAnsi="Times New Roman Bold Italic" w:cs="Times New Roman Bold Italic"/>
          <w:b/>
          <w:bCs/>
          <w:i/>
          <w:iCs/>
          <w:szCs w:val="20"/>
        </w:rPr>
        <w:t>positionInDCI-cellDTRX</w:t>
      </w:r>
      <w:r>
        <w:rPr>
          <w:rFonts w:ascii="Times New Roman Italic" w:hAnsi="Times New Roman Italic" w:cs="Times New Roman Italic"/>
          <w:b/>
          <w:bCs/>
          <w:i/>
          <w:iCs/>
          <w:szCs w:val="20"/>
        </w:rPr>
        <w:t xml:space="preserve"> </w:t>
      </w:r>
      <w:r>
        <w:rPr>
          <w:b/>
          <w:bCs/>
          <w:szCs w:val="20"/>
        </w:rPr>
        <w:t xml:space="preserve">for cell DTX/DRX bits per serving cell is reused for CHO indication. </w:t>
      </w:r>
    </w:p>
    <w:p>
      <w:pPr>
        <w:jc w:val="both"/>
        <w:rPr>
          <w:szCs w:val="20"/>
        </w:rPr>
      </w:pPr>
      <w:r>
        <w:rPr>
          <w:b/>
          <w:bCs/>
          <w:szCs w:val="20"/>
        </w:rPr>
        <w:t xml:space="preserve">Alt 2: Introduce another set of blocks in DCI format 2_9 for CHO indication. A new starting position </w:t>
      </w:r>
      <w:r>
        <w:rPr>
          <w:rFonts w:ascii="Times New Roman Bold Italic" w:hAnsi="Times New Roman Bold Italic" w:cs="Times New Roman Bold Italic"/>
          <w:b/>
          <w:bCs/>
          <w:i/>
          <w:iCs/>
          <w:szCs w:val="20"/>
        </w:rPr>
        <w:t>positionInDCI-CHO</w:t>
      </w:r>
      <w:r>
        <w:rPr>
          <w:b/>
          <w:bCs/>
          <w:szCs w:val="20"/>
        </w:rPr>
        <w:t xml:space="preserve"> per serving cell should be introduced for the CHO indication. </w:t>
      </w:r>
    </w:p>
    <w:p>
      <w:pPr>
        <w:jc w:val="both"/>
        <w:rPr>
          <w:b/>
          <w:bCs/>
          <w:szCs w:val="20"/>
        </w:rPr>
      </w:pPr>
    </w:p>
    <w:p>
      <w:pPr>
        <w:jc w:val="both"/>
        <w:rPr>
          <w:rFonts w:hint="default" w:ascii="Times New Roman Bold" w:hAnsi="Times New Roman Bold" w:cs="Times New Roman Bold"/>
          <w:b/>
          <w:bCs/>
          <w:szCs w:val="20"/>
          <w:lang w:val="en-US"/>
        </w:rPr>
      </w:pPr>
      <w:r>
        <w:rPr>
          <w:rFonts w:hint="default" w:ascii="Times New Roman Bold" w:hAnsi="Times New Roman Bold" w:cs="Times New Roman Bold"/>
          <w:b/>
          <w:bCs/>
          <w:szCs w:val="20"/>
          <w:lang w:val="en-US"/>
        </w:rPr>
        <w:t xml:space="preserve">Proposal 2: Consider the TPs in sec 2.1 (Alt 1) or 2.2 (Alt 2) to support NES CHO indication in DCI format 2_9. </w:t>
      </w:r>
    </w:p>
    <w:p>
      <w:pPr>
        <w:jc w:val="both"/>
        <w:rPr>
          <w:rFonts w:hint="default" w:ascii="Times New Roman Bold" w:hAnsi="Times New Roman Bold" w:cs="Times New Roman Bold"/>
          <w:b/>
          <w:bCs/>
          <w:szCs w:val="20"/>
          <w:lang w:val="en-US"/>
        </w:rPr>
      </w:pPr>
      <w:r>
        <w:rPr>
          <w:rFonts w:hint="default" w:ascii="Times New Roman Bold" w:hAnsi="Times New Roman Bold" w:cs="Times New Roman Bold"/>
          <w:b/>
          <w:bCs/>
          <w:szCs w:val="20"/>
          <w:lang w:val="en-US"/>
        </w:rPr>
        <w:t>TP for Alt 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tc>
          <w:tcPr>
            <w:tcW w:w="9010" w:type="dxa"/>
          </w:tcPr>
          <w:p>
            <w:pPr>
              <w:rPr>
                <w:rFonts w:hint="default"/>
                <w:lang w:val="en-US"/>
              </w:rPr>
            </w:pPr>
            <w:r>
              <w:t>Reason for change</w:t>
            </w:r>
            <w:r>
              <w:rPr>
                <w:rFonts w:hint="default"/>
                <w:lang w:val="en-US"/>
              </w:rPr>
              <w:t>:</w:t>
            </w:r>
          </w:p>
          <w:p>
            <w:pPr>
              <w:rPr>
                <w:rFonts w:hint="default"/>
                <w:lang w:val="en-US"/>
              </w:rPr>
            </w:pPr>
            <w:r>
              <w:t>RAN2 sent an LS R1-2311002 (R2-2311589) by requesting to add one bit of DCI 2-9 to notify UE that source cell is entering NES mode. The intention of the additional one bit (instead of reusing Cell DTX/DRX activation indication in DCI 2-9) is to decouple CHO enhancement for NES from Cell DTX/DRX activation.</w:t>
            </w:r>
          </w:p>
        </w:tc>
      </w:tr>
      <w:tr>
        <w:tc>
          <w:tcPr>
            <w:tcW w:w="9010" w:type="dxa"/>
          </w:tcPr>
          <w:p>
            <w:pPr>
              <w:rPr>
                <w:rFonts w:hint="default"/>
                <w:lang w:val="en-US"/>
              </w:rPr>
            </w:pPr>
            <w:r>
              <w:t>Summary of change</w:t>
            </w:r>
            <w:r>
              <w:rPr>
                <w:rFonts w:hint="default"/>
                <w:lang w:val="en-US"/>
              </w:rPr>
              <w:t>:</w:t>
            </w:r>
          </w:p>
          <w:p>
            <w:pPr>
              <w:rPr>
                <w:rFonts w:hint="default"/>
                <w:lang w:val="en-US"/>
              </w:rPr>
            </w:pPr>
            <w:r>
              <w:t>One bit per serving cell for notifying UE to enter NES mode is added in DCI 2-9.</w:t>
            </w:r>
          </w:p>
        </w:tc>
      </w:tr>
      <w:tr>
        <w:tc>
          <w:tcPr>
            <w:tcW w:w="9010" w:type="dxa"/>
          </w:tcPr>
          <w:p>
            <w:pPr>
              <w:rPr>
                <w:rFonts w:hint="default"/>
                <w:lang w:val="en-US"/>
              </w:rPr>
            </w:pPr>
            <w:r>
              <w:t>Consequences if not approved</w:t>
            </w:r>
            <w:r>
              <w:rPr>
                <w:rFonts w:hint="default"/>
                <w:lang w:val="en-US"/>
              </w:rPr>
              <w:t>:</w:t>
            </w:r>
          </w:p>
          <w:p>
            <w:pPr>
              <w:rPr>
                <w:rFonts w:hint="default"/>
                <w:lang w:val="en-US"/>
              </w:rPr>
            </w:pPr>
            <w:r>
              <w:t>CHO enhancement for NES is not supported.</w:t>
            </w:r>
          </w:p>
        </w:tc>
      </w:tr>
      <w:tr>
        <w:tc>
          <w:tcPr>
            <w:tcW w:w="9010" w:type="dxa"/>
          </w:tcPr>
          <w:p>
            <w:pPr>
              <w:jc w:val="both"/>
              <w:rPr>
                <w:sz w:val="20"/>
                <w:szCs w:val="20"/>
              </w:rPr>
            </w:pPr>
          </w:p>
          <w:p>
            <w:pPr>
              <w:jc w:val="both"/>
              <w:rPr>
                <w:sz w:val="20"/>
                <w:szCs w:val="20"/>
              </w:rPr>
            </w:pPr>
            <w:r>
              <w:rPr>
                <w:sz w:val="20"/>
                <w:szCs w:val="20"/>
              </w:rPr>
              <w:t>-----------------------------------------Text proposal for TS38.212 for Alt 1 ---------------------------------------------</w:t>
            </w:r>
          </w:p>
          <w:p>
            <w:pPr>
              <w:jc w:val="both"/>
              <w:rPr>
                <w:rFonts w:hint="default" w:ascii="Times New Roman Regular" w:hAnsi="Times New Roman Regular" w:cs="Times New Roman Regular"/>
                <w:sz w:val="20"/>
                <w:szCs w:val="20"/>
              </w:rPr>
            </w:pPr>
            <w:r>
              <w:rPr>
                <w:rFonts w:hint="default" w:ascii="Times New Roman Regular" w:hAnsi="Times New Roman Regular" w:cs="Times New Roman Regular"/>
                <w:sz w:val="20"/>
                <w:szCs w:val="20"/>
              </w:rPr>
              <w:t>TS38.212</w:t>
            </w:r>
          </w:p>
          <w:p>
            <w:pPr>
              <w:jc w:val="center"/>
              <w:rPr>
                <w:rFonts w:ascii="Arial" w:hAnsi="Arial" w:cs="Arial"/>
                <w:color w:val="FF0000"/>
                <w:sz w:val="28"/>
                <w:szCs w:val="28"/>
              </w:rPr>
            </w:pPr>
            <w:r>
              <w:rPr>
                <w:rFonts w:ascii="Arial" w:hAnsi="Arial" w:cs="Arial"/>
                <w:color w:val="FF0000"/>
                <w:sz w:val="24"/>
              </w:rPr>
              <w:t>&lt; Unchanged parts are omitted &gt;</w:t>
            </w:r>
          </w:p>
          <w:p>
            <w:r>
              <w:t>7.3.1.3.10</w:t>
            </w:r>
            <w:r>
              <w:tab/>
            </w:r>
            <w:r>
              <w:t>Format 2_9</w:t>
            </w:r>
          </w:p>
          <w:p>
            <w:pPr>
              <w:snapToGrid w:val="0"/>
            </w:pPr>
            <w:r>
              <w:t xml:space="preserve">DCI format 2_9 is used for activating or de-activating the cell DTX and/or DRX configuration of one or multiple serving cells </w:t>
            </w:r>
            <w:r>
              <w:rPr>
                <w:color w:val="FF0000"/>
                <w:u w:val="single"/>
              </w:rPr>
              <w:t>or notifying the serving cell is entering NES mode to trigger CHO enhancement of NES</w:t>
            </w:r>
            <w:r>
              <w:rPr>
                <w:color w:val="FF0000"/>
              </w:rPr>
              <w:t xml:space="preserve"> </w:t>
            </w:r>
            <w:r>
              <w:rPr>
                <w:rFonts w:ascii="Times" w:hAnsi="Times" w:eastAsia="Batang"/>
                <w:bCs/>
              </w:rPr>
              <w:t>for one or more UEs</w:t>
            </w:r>
            <w:r>
              <w:t xml:space="preserve">. </w:t>
            </w:r>
          </w:p>
          <w:p>
            <w:r>
              <w:t>The following information is transmitted by means of the DCI format 2_9 with CRC scrambled by cellDTRX-RNTI:</w:t>
            </w:r>
          </w:p>
          <w:p>
            <w:pPr>
              <w:pStyle w:val="65"/>
              <w:rPr>
                <w:rFonts w:eastAsiaTheme="minorEastAsia"/>
                <w:kern w:val="0"/>
                <w:sz w:val="20"/>
              </w:rPr>
            </w:pPr>
            <w:r>
              <w:rPr>
                <w:rFonts w:eastAsiaTheme="minorEastAsia"/>
                <w:kern w:val="0"/>
                <w:sz w:val="20"/>
              </w:rPr>
              <w:t>-</w:t>
            </w:r>
            <w:r>
              <w:rPr>
                <w:rFonts w:eastAsiaTheme="minorEastAsia"/>
                <w:kern w:val="0"/>
                <w:sz w:val="20"/>
                <w:lang w:eastAsia="zh-CN"/>
              </w:rPr>
              <w:tab/>
            </w:r>
            <w:r>
              <w:rPr>
                <w:rFonts w:eastAsiaTheme="minorEastAsia"/>
                <w:kern w:val="0"/>
                <w:sz w:val="20"/>
                <w:lang w:eastAsia="zh-CN"/>
              </w:rPr>
              <w:t xml:space="preserve">block </w:t>
            </w:r>
            <w:r>
              <w:rPr>
                <w:rFonts w:eastAsiaTheme="minorEastAsia"/>
                <w:kern w:val="0"/>
                <w:sz w:val="20"/>
              </w:rPr>
              <w:t xml:space="preserve">number 1, </w:t>
            </w:r>
            <w:r>
              <w:rPr>
                <w:rFonts w:eastAsiaTheme="minorEastAsia"/>
                <w:kern w:val="0"/>
                <w:sz w:val="20"/>
                <w:lang w:eastAsia="zh-CN"/>
              </w:rPr>
              <w:t>block</w:t>
            </w:r>
            <w:r>
              <w:rPr>
                <w:rFonts w:eastAsiaTheme="minorEastAsia"/>
                <w:kern w:val="0"/>
                <w:sz w:val="20"/>
              </w:rPr>
              <w:t xml:space="preserve"> number 2,…, </w:t>
            </w:r>
            <w:r>
              <w:rPr>
                <w:rFonts w:eastAsiaTheme="minorEastAsia"/>
                <w:kern w:val="0"/>
                <w:sz w:val="20"/>
                <w:lang w:eastAsia="zh-CN"/>
              </w:rPr>
              <w:t>block</w:t>
            </w:r>
            <w:r>
              <w:rPr>
                <w:rFonts w:eastAsiaTheme="minorEastAsia"/>
                <w:kern w:val="0"/>
                <w:sz w:val="20"/>
              </w:rPr>
              <w:t xml:space="preserve"> number N</w:t>
            </w:r>
          </w:p>
          <w:p>
            <w:pPr>
              <w:pStyle w:val="65"/>
              <w:snapToGrid w:val="0"/>
              <w:spacing w:line="240" w:lineRule="auto"/>
              <w:ind w:left="576" w:hanging="288"/>
              <w:rPr>
                <w:rFonts w:eastAsiaTheme="minorEastAsia"/>
                <w:kern w:val="0"/>
                <w:sz w:val="20"/>
              </w:rPr>
            </w:pPr>
            <w:r>
              <w:rPr>
                <w:rFonts w:eastAsiaTheme="minorEastAsia"/>
                <w:kern w:val="0"/>
                <w:sz w:val="20"/>
              </w:rPr>
              <w:tab/>
            </w:r>
            <w:r>
              <w:rPr>
                <w:rFonts w:eastAsiaTheme="minorEastAsia"/>
                <w:kern w:val="0"/>
                <w:sz w:val="20"/>
              </w:rPr>
              <w:t xml:space="preserve">where </w:t>
            </w:r>
            <w:r>
              <w:rPr>
                <w:rFonts w:eastAsiaTheme="minorEastAsia"/>
                <w:kern w:val="0"/>
                <w:sz w:val="20"/>
                <w:lang w:eastAsia="ko-KR"/>
              </w:rPr>
              <w:t xml:space="preserve">the starting position of a block </w:t>
            </w:r>
            <w:r>
              <w:rPr>
                <w:rFonts w:eastAsiaTheme="minorEastAsia"/>
                <w:kern w:val="0"/>
                <w:sz w:val="20"/>
              </w:rPr>
              <w:t>is determined by the parameter positionInDCI-cellDTRX</w:t>
            </w:r>
            <w:r>
              <w:rPr>
                <w:rFonts w:eastAsiaTheme="minorEastAsia"/>
                <w:color w:val="FF0000"/>
                <w:kern w:val="0"/>
                <w:sz w:val="20"/>
                <w:lang w:val="en-US"/>
              </w:rPr>
              <w:t xml:space="preserve"> </w:t>
            </w:r>
            <w:r>
              <w:rPr>
                <w:rFonts w:eastAsiaTheme="minorEastAsia"/>
                <w:kern w:val="0"/>
                <w:sz w:val="20"/>
                <w:lang w:eastAsia="ko-KR"/>
              </w:rPr>
              <w:t>provided</w:t>
            </w:r>
            <w:r>
              <w:rPr>
                <w:rFonts w:eastAsiaTheme="minorEastAsia"/>
                <w:kern w:val="0"/>
                <w:sz w:val="20"/>
                <w:lang w:val="en-US" w:eastAsia="ko-KR"/>
              </w:rPr>
              <w:t xml:space="preserve"> </w:t>
            </w:r>
            <w:r>
              <w:rPr>
                <w:rFonts w:eastAsiaTheme="minorEastAsia"/>
                <w:kern w:val="0"/>
                <w:sz w:val="20"/>
                <w:lang w:eastAsia="ko-KR"/>
              </w:rPr>
              <w:t>by higher layers for the UE.</w:t>
            </w:r>
          </w:p>
          <w:p>
            <w:r>
              <w:t xml:space="preserve">If the UE is configured with higher layer parameter </w:t>
            </w:r>
            <w:r>
              <w:rPr>
                <w:i/>
                <w:strike/>
                <w:color w:val="FF0000"/>
              </w:rPr>
              <w:t>XYZ</w:t>
            </w:r>
            <w:r>
              <w:rPr>
                <w:i/>
                <w:color w:val="FF0000"/>
                <w:u w:val="single"/>
              </w:rPr>
              <w:t xml:space="preserve">cellDTRX-RNTI </w:t>
            </w:r>
            <w:r>
              <w:rPr>
                <w:iCs/>
                <w:color w:val="FF0000"/>
                <w:u w:val="single"/>
              </w:rPr>
              <w:t xml:space="preserve">and </w:t>
            </w:r>
            <w:r>
              <w:rPr>
                <w:rFonts w:ascii="Times New Roman Italic" w:hAnsi="Times New Roman Italic" w:cs="Times New Roman Italic"/>
                <w:i/>
                <w:color w:val="FF0000"/>
                <w:u w:val="single"/>
              </w:rPr>
              <w:t xml:space="preserve">dci-Format2-9 </w:t>
            </w:r>
            <w:r>
              <w:t>, one or more blocks are configured for the UE by higher layers, with t</w:t>
            </w:r>
            <w:r>
              <w:rPr>
                <w:lang w:eastAsia="ko-KR"/>
              </w:rPr>
              <w:t>he following field defined for each block:</w:t>
            </w:r>
          </w:p>
          <w:p>
            <w:pPr>
              <w:pStyle w:val="65"/>
              <w:spacing w:after="240" w:afterLines="100" w:line="240" w:lineRule="auto"/>
              <w:ind w:left="576" w:hanging="288"/>
              <w:rPr>
                <w:rFonts w:eastAsiaTheme="minorEastAsia"/>
                <w:kern w:val="0"/>
                <w:sz w:val="20"/>
              </w:rPr>
            </w:pPr>
            <w:r>
              <w:rPr>
                <w:rFonts w:eastAsiaTheme="minorEastAsia"/>
                <w:kern w:val="0"/>
                <w:sz w:val="20"/>
              </w:rPr>
              <w:t>-</w:t>
            </w:r>
            <w:r>
              <w:rPr>
                <w:rFonts w:eastAsiaTheme="minorEastAsia"/>
                <w:kern w:val="0"/>
                <w:sz w:val="20"/>
              </w:rPr>
              <w:tab/>
            </w:r>
            <w:r>
              <w:rPr>
                <w:rFonts w:eastAsiaTheme="minorEastAsia"/>
                <w:kern w:val="0"/>
                <w:sz w:val="20"/>
              </w:rPr>
              <w:t xml:space="preserve">Cell DTX/DRX indication - </w:t>
            </w:r>
            <w:r>
              <w:rPr>
                <w:rFonts w:eastAsiaTheme="minorEastAsia"/>
                <w:color w:val="FF0000"/>
                <w:kern w:val="0"/>
                <w:sz w:val="20"/>
                <w:u w:val="single"/>
                <w:lang w:val="en-US"/>
              </w:rPr>
              <w:t xml:space="preserve">0 bit if UE is </w:t>
            </w:r>
            <w:r>
              <w:rPr>
                <w:rFonts w:hint="default" w:eastAsiaTheme="minorEastAsia"/>
                <w:color w:val="FF0000"/>
                <w:kern w:val="0"/>
                <w:sz w:val="20"/>
                <w:u w:val="single"/>
                <w:lang w:val="en-US"/>
              </w:rPr>
              <w:t xml:space="preserve">not </w:t>
            </w:r>
            <w:r>
              <w:rPr>
                <w:rFonts w:eastAsiaTheme="minorEastAsia"/>
                <w:color w:val="FF0000"/>
                <w:kern w:val="0"/>
                <w:sz w:val="20"/>
                <w:u w:val="single"/>
                <w:lang w:val="en-US"/>
              </w:rPr>
              <w:t xml:space="preserve">configured with </w:t>
            </w:r>
            <w:r>
              <w:rPr>
                <w:rFonts w:hint="default" w:eastAsiaTheme="minorEastAsia"/>
                <w:color w:val="FF0000"/>
                <w:kern w:val="0"/>
                <w:sz w:val="20"/>
                <w:u w:val="single"/>
                <w:lang w:val="en-US"/>
              </w:rPr>
              <w:t>CellDTXDRX-Config</w:t>
            </w:r>
            <w:r>
              <w:rPr>
                <w:rFonts w:hint="default"/>
                <w:b w:val="0"/>
                <w:bCs w:val="0"/>
                <w:color w:val="FF0000"/>
                <w:sz w:val="20"/>
                <w:szCs w:val="13"/>
                <w:u w:val="single"/>
                <w:lang w:val="en-US"/>
              </w:rPr>
              <w:t>, or does not support</w:t>
            </w:r>
            <w:r>
              <w:rPr>
                <w:rFonts w:hint="default" w:cs="Times New Roman"/>
                <w:b w:val="0"/>
                <w:bCs w:val="0"/>
                <w:color w:val="FF0000"/>
                <w:sz w:val="20"/>
                <w:szCs w:val="13"/>
                <w:u w:val="single"/>
                <w:lang w:val="en-US"/>
              </w:rPr>
              <w:t xml:space="preserve"> cell DTX/DRX triggered by DCI format 2_9</w:t>
            </w:r>
            <w:r>
              <w:rPr>
                <w:rFonts w:eastAsiaTheme="minorEastAsia"/>
                <w:color w:val="FF0000"/>
                <w:kern w:val="0"/>
                <w:sz w:val="20"/>
                <w:lang w:val="en-US" w:eastAsia="zh-CN"/>
              </w:rPr>
              <w:t xml:space="preserve">; </w:t>
            </w:r>
            <w:r>
              <w:rPr>
                <w:rFonts w:eastAsiaTheme="minorEastAsia"/>
                <w:kern w:val="0"/>
                <w:sz w:val="20"/>
              </w:rPr>
              <w:t>2 bits</w:t>
            </w:r>
            <w:r>
              <w:rPr>
                <w:rFonts w:hint="eastAsia" w:eastAsiaTheme="minorEastAsia"/>
                <w:kern w:val="0"/>
                <w:sz w:val="20"/>
              </w:rPr>
              <w:t xml:space="preserve"> </w:t>
            </w:r>
            <w:r>
              <w:rPr>
                <w:rFonts w:eastAsiaTheme="minorEastAsia"/>
                <w:kern w:val="0"/>
                <w:sz w:val="20"/>
              </w:rPr>
              <w:t>i</w:t>
            </w:r>
            <w:r>
              <w:rPr>
                <w:rFonts w:hint="eastAsia" w:eastAsiaTheme="minorEastAsia"/>
                <w:kern w:val="0"/>
                <w:sz w:val="20"/>
              </w:rPr>
              <w:t>f</w:t>
            </w:r>
            <w:r>
              <w:rPr>
                <w:rFonts w:eastAsiaTheme="minorEastAsia"/>
                <w:kern w:val="0"/>
                <w:sz w:val="20"/>
              </w:rPr>
              <w:t xml:space="preserve"> </w:t>
            </w:r>
            <w:r>
              <w:rPr>
                <w:rFonts w:hint="default" w:eastAsiaTheme="minorEastAsia"/>
                <w:strike/>
                <w:color w:val="FF0000"/>
                <w:kern w:val="0"/>
                <w:sz w:val="20"/>
                <w:lang w:val="en-US"/>
              </w:rPr>
              <w:t xml:space="preserve">XYZ </w:t>
            </w:r>
            <w:r>
              <w:rPr>
                <w:rFonts w:eastAsiaTheme="minorEastAsia"/>
                <w:color w:val="FF0000"/>
                <w:kern w:val="0"/>
                <w:sz w:val="20"/>
                <w:u w:val="single"/>
                <w:lang w:val="en-US"/>
              </w:rPr>
              <w:t xml:space="preserve">UE is configured with </w:t>
            </w:r>
            <w:r>
              <w:rPr>
                <w:rFonts w:hint="default" w:eastAsiaTheme="minorEastAsia"/>
                <w:color w:val="FF0000"/>
                <w:kern w:val="0"/>
                <w:sz w:val="20"/>
                <w:u w:val="single"/>
                <w:lang w:val="en-US"/>
              </w:rPr>
              <w:t xml:space="preserve">CellDTXDRX-Config and </w:t>
            </w:r>
            <w:r>
              <w:rPr>
                <w:rFonts w:hint="default" w:ascii="Times New Roman Italic" w:hAnsi="Times New Roman Italic" w:cs="Times New Roman Italic" w:eastAsiaTheme="minorEastAsia"/>
                <w:i/>
                <w:iCs/>
                <w:color w:val="FF0000"/>
                <w:kern w:val="0"/>
                <w:sz w:val="20"/>
                <w:u w:val="single"/>
                <w:lang w:val="en-US"/>
              </w:rPr>
              <w:t xml:space="preserve">cellDTXDRXconfigType </w:t>
            </w:r>
            <w:r>
              <w:rPr>
                <w:rFonts w:hint="default" w:eastAsiaTheme="minorEastAsia"/>
                <w:color w:val="FF0000"/>
                <w:kern w:val="0"/>
                <w:sz w:val="20"/>
                <w:u w:val="single"/>
                <w:lang w:val="en-US"/>
              </w:rPr>
              <w:t>is configured as ‘dtxdrx’</w:t>
            </w:r>
            <w:r>
              <w:rPr>
                <w:rFonts w:eastAsiaTheme="minorEastAsia"/>
                <w:kern w:val="0"/>
                <w:sz w:val="20"/>
              </w:rPr>
              <w:t>, with the MSB corresponding to cell DTX configuration and the LSB corresponding to cell DRX configuration</w:t>
            </w:r>
            <w:r>
              <w:rPr>
                <w:rFonts w:hint="eastAsia" w:eastAsiaTheme="minorEastAsia"/>
                <w:kern w:val="0"/>
                <w:sz w:val="20"/>
              </w:rPr>
              <w:t>;</w:t>
            </w:r>
            <w:r>
              <w:rPr>
                <w:rFonts w:eastAsiaTheme="minorEastAsia"/>
                <w:kern w:val="0"/>
                <w:sz w:val="20"/>
              </w:rPr>
              <w:t xml:space="preserve"> otherwise 1 bit. </w:t>
            </w:r>
          </w:p>
          <w:p>
            <w:pPr>
              <w:pStyle w:val="65"/>
              <w:snapToGrid w:val="0"/>
              <w:spacing w:line="240" w:lineRule="auto"/>
              <w:ind w:left="600" w:leftChars="150" w:hanging="300" w:hangingChars="150"/>
              <w:rPr>
                <w:rFonts w:eastAsiaTheme="minorEastAsia"/>
                <w:kern w:val="0"/>
                <w:sz w:val="20"/>
                <w:u w:val="single"/>
              </w:rPr>
            </w:pPr>
            <w:r>
              <w:rPr>
                <w:rFonts w:eastAsiaTheme="minorEastAsia"/>
                <w:color w:val="FF0000"/>
                <w:kern w:val="0"/>
                <w:sz w:val="20"/>
                <w:u w:val="single"/>
                <w:lang w:val="en-US" w:eastAsia="zh-CN"/>
              </w:rPr>
              <w:t xml:space="preserve">-    NES CHO indication - </w:t>
            </w:r>
            <w:r>
              <w:rPr>
                <w:rFonts w:hint="default" w:eastAsiaTheme="minorEastAsia"/>
                <w:color w:val="FF0000"/>
                <w:kern w:val="0"/>
                <w:sz w:val="20"/>
                <w:u w:val="single"/>
                <w:lang w:val="en-US" w:eastAsia="zh-CN"/>
              </w:rPr>
              <w:t xml:space="preserve">1bit if </w:t>
            </w:r>
            <w:r>
              <w:rPr>
                <w:rFonts w:hint="default" w:ascii="Times New Roman Italic" w:hAnsi="Times New Roman Italic" w:cs="Times New Roman Italic" w:eastAsiaTheme="minorEastAsia"/>
                <w:i/>
                <w:iCs/>
                <w:color w:val="FF0000"/>
                <w:kern w:val="0"/>
                <w:sz w:val="20"/>
                <w:u w:val="single"/>
                <w:lang w:val="en-US" w:eastAsia="zh-CN"/>
              </w:rPr>
              <w:t xml:space="preserve">conditionalReconfiguration </w:t>
            </w:r>
            <w:r>
              <w:rPr>
                <w:rFonts w:hint="default" w:eastAsiaTheme="minorEastAsia"/>
                <w:color w:val="FF0000"/>
                <w:kern w:val="0"/>
                <w:sz w:val="20"/>
                <w:u w:val="single"/>
                <w:lang w:val="en-US" w:eastAsia="zh-CN"/>
              </w:rPr>
              <w:t xml:space="preserve">is configured and the </w:t>
            </w:r>
            <w:r>
              <w:rPr>
                <w:rFonts w:hint="default" w:ascii="Times New Roman Italic" w:hAnsi="Times New Roman Italic" w:cs="Times New Roman Italic" w:eastAsiaTheme="minorEastAsia"/>
                <w:i/>
                <w:iCs/>
                <w:color w:val="FF0000"/>
                <w:kern w:val="0"/>
                <w:sz w:val="20"/>
                <w:u w:val="single"/>
                <w:lang w:val="en-US" w:eastAsia="zh-CN"/>
              </w:rPr>
              <w:t xml:space="preserve">ServCellIndex  </w:t>
            </w:r>
            <w:r>
              <w:rPr>
                <w:rFonts w:hint="default" w:eastAsiaTheme="minorEastAsia"/>
                <w:color w:val="FF0000"/>
                <w:kern w:val="0"/>
                <w:sz w:val="20"/>
                <w:u w:val="single"/>
                <w:lang w:val="en-US" w:eastAsia="zh-CN"/>
              </w:rPr>
              <w:t>of this serving cell is 0</w:t>
            </w:r>
            <w:r>
              <w:rPr>
                <w:rFonts w:eastAsiaTheme="minorEastAsia"/>
                <w:color w:val="FF0000"/>
                <w:kern w:val="0"/>
                <w:sz w:val="20"/>
                <w:u w:val="single"/>
                <w:lang w:val="en-US" w:eastAsia="zh-CN"/>
              </w:rPr>
              <w:t>. </w:t>
            </w:r>
          </w:p>
          <w:p>
            <w:r>
              <w:t xml:space="preserve">The size of DCI format 2_9 is indicated by the higher layer parameter </w:t>
            </w:r>
            <w:r>
              <w:rPr>
                <w:i/>
              </w:rPr>
              <w:t>sizeDCI-2-9</w:t>
            </w:r>
            <w:r>
              <w:t>.</w:t>
            </w:r>
          </w:p>
          <w:p>
            <w:pPr>
              <w:jc w:val="center"/>
            </w:pPr>
            <w:r>
              <w:rPr>
                <w:rFonts w:ascii="Arial" w:hAnsi="Arial" w:cs="Arial"/>
                <w:color w:val="FF0000"/>
                <w:sz w:val="24"/>
              </w:rPr>
              <w:t>&lt; Unchanged parts are omitted &gt;</w:t>
            </w:r>
          </w:p>
          <w:p>
            <w:pPr>
              <w:jc w:val="both"/>
              <w:rPr>
                <w:szCs w:val="20"/>
              </w:rPr>
            </w:pPr>
            <w:r>
              <w:rPr>
                <w:szCs w:val="20"/>
              </w:rPr>
              <w:t>-------------------------------------------------------End of Text proposal --------------------------------------------------</w:t>
            </w:r>
          </w:p>
          <w:p/>
          <w:p/>
          <w:p>
            <w:pPr>
              <w:jc w:val="both"/>
              <w:rPr>
                <w:rFonts w:ascii="Arial" w:hAnsi="Arial" w:cs="Arial"/>
                <w:sz w:val="24"/>
              </w:rPr>
            </w:pPr>
            <w:r>
              <w:rPr>
                <w:szCs w:val="20"/>
              </w:rPr>
              <w:t>-----------------------------------------Text proposal for TS38.213 for Alt 1 ---------------------------------------------</w:t>
            </w:r>
          </w:p>
          <w:p>
            <w:pPr>
              <w:jc w:val="both"/>
              <w:rPr>
                <w:rFonts w:hint="default" w:ascii="Times New Roman Regular" w:hAnsi="Times New Roman Regular" w:cs="Times New Roman Regular"/>
                <w:sz w:val="20"/>
                <w:szCs w:val="20"/>
              </w:rPr>
            </w:pPr>
            <w:r>
              <w:rPr>
                <w:rFonts w:hint="default" w:ascii="Times New Roman Regular" w:hAnsi="Times New Roman Regular" w:cs="Times New Roman Regular"/>
                <w:sz w:val="20"/>
                <w:szCs w:val="20"/>
              </w:rPr>
              <w:t>TS 38.213</w:t>
            </w:r>
          </w:p>
          <w:p>
            <w:pPr>
              <w:jc w:val="center"/>
              <w:rPr>
                <w:rFonts w:ascii="Arial" w:hAnsi="Arial" w:cs="Arial"/>
                <w:color w:val="FF0000"/>
                <w:sz w:val="24"/>
              </w:rPr>
            </w:pPr>
            <w:r>
              <w:rPr>
                <w:rFonts w:ascii="Arial" w:hAnsi="Arial" w:cs="Arial"/>
                <w:color w:val="FF0000"/>
                <w:sz w:val="24"/>
              </w:rPr>
              <w:t>&lt; Unchanged parts are omitted &gt;</w:t>
            </w:r>
          </w:p>
          <w:p>
            <w:r>
              <w:t>11.5</w:t>
            </w:r>
            <w:r>
              <w:tab/>
            </w:r>
            <w:r>
              <w:t>Adaptation of cell operation</w:t>
            </w:r>
          </w:p>
          <w:p>
            <w:pPr>
              <w:rPr>
                <w:highlight w:val="none"/>
                <w:u w:val="single"/>
              </w:rPr>
            </w:pPr>
            <w:r>
              <w:t xml:space="preserve">A UE configured for operation on a serving cell according to one or both of a cell DTX operation by </w:t>
            </w:r>
            <w:r>
              <w:rPr>
                <w:i/>
                <w:iCs/>
              </w:rPr>
              <w:t>cellDTXConfig</w:t>
            </w:r>
            <w:r>
              <w:t xml:space="preserve"> and a cell DRX operation by </w:t>
            </w:r>
            <w:r>
              <w:rPr>
                <w:i/>
                <w:iCs/>
              </w:rPr>
              <w:t>cellDRXConfig</w:t>
            </w:r>
            <w:r>
              <w:t xml:space="preserve"> for the serving cell [11, TS 38.331], can be additionally provided by </w:t>
            </w:r>
            <w:r>
              <w:rPr>
                <w:i/>
                <w:iCs/>
              </w:rPr>
              <w:t>dci-Format2-9</w:t>
            </w:r>
            <w:r>
              <w:t xml:space="preserve"> a Type3-PDCCH CSS set to monitor PDCCH for detection of DCI format 2_9 as described in clause 10</w:t>
            </w:r>
            <w:r>
              <w:rPr>
                <w:highlight w:val="none"/>
              </w:rPr>
              <w:t>.1</w:t>
            </w:r>
            <w:r>
              <w:rPr>
                <w:color w:val="FF0000"/>
                <w:highlight w:val="none"/>
                <w:u w:val="single"/>
              </w:rPr>
              <w:t xml:space="preserve">,  if </w:t>
            </w:r>
            <w:r>
              <w:rPr>
                <w:color w:val="FF0000"/>
                <w:szCs w:val="20"/>
                <w:highlight w:val="none"/>
                <w:u w:val="single"/>
              </w:rPr>
              <w:t>UE supports cell DTX and/or cell DRX triggered by DCI format 2_9,</w:t>
            </w:r>
            <w:r>
              <w:rPr>
                <w:highlight w:val="none"/>
                <w:u w:val="single"/>
              </w:rPr>
              <w:t xml:space="preserve"> </w:t>
            </w:r>
          </w:p>
          <w:p>
            <w:pPr>
              <w:pStyle w:val="65"/>
              <w:snapToGrid w:val="0"/>
              <w:spacing w:after="360" w:afterLines="150" w:line="240" w:lineRule="auto"/>
              <w:ind w:left="576" w:hanging="288"/>
              <w:rPr>
                <w:sz w:val="20"/>
              </w:rPr>
            </w:pPr>
            <w:r>
              <w:t>-</w:t>
            </w:r>
            <w:r>
              <w:tab/>
            </w:r>
            <w:r>
              <w:rPr>
                <w:sz w:val="20"/>
              </w:rPr>
              <w:t>if the UE is configured with both cell DTX operation and cell DRX operation for the serving cell, the cell DTX/DRX indicator field includes two bits where the first bit indicates the cell DTX operation and the second bit indicates the cell DRX operation</w:t>
            </w:r>
          </w:p>
          <w:p>
            <w:pPr>
              <w:pStyle w:val="65"/>
              <w:snapToGrid w:val="0"/>
              <w:spacing w:after="240" w:afterLines="100" w:line="240" w:lineRule="auto"/>
              <w:ind w:left="576" w:hanging="288"/>
              <w:rPr>
                <w:sz w:val="20"/>
              </w:rPr>
            </w:pPr>
            <w:r>
              <w:rPr>
                <w:sz w:val="20"/>
              </w:rPr>
              <w:t>-</w:t>
            </w:r>
            <w:r>
              <w:rPr>
                <w:sz w:val="20"/>
              </w:rPr>
              <w:tab/>
            </w:r>
            <w:r>
              <w:rPr>
                <w:sz w:val="20"/>
              </w:rPr>
              <w:t>if the UE is configured with only one of the cell DTX operation and cell DRX operation for the serving cell,</w:t>
            </w:r>
            <w:r>
              <w:rPr>
                <w:sz w:val="20"/>
                <w:lang w:val="en-US"/>
              </w:rPr>
              <w:t xml:space="preserve"> </w:t>
            </w:r>
            <w:r>
              <w:rPr>
                <w:color w:val="FF0000"/>
                <w:sz w:val="20"/>
                <w:lang w:val="en-US"/>
              </w:rPr>
              <w:t xml:space="preserve"> </w:t>
            </w:r>
            <w:r>
              <w:rPr>
                <w:sz w:val="20"/>
              </w:rPr>
              <w:t>the cell DTX/DRX indicator field includes one bit indicating one of the cell DTX operation and cell DRX operation, respectively, for the serving cell</w:t>
            </w:r>
          </w:p>
          <w:p>
            <w:pPr>
              <w:pStyle w:val="65"/>
              <w:snapToGrid w:val="0"/>
              <w:spacing w:after="240" w:afterLines="100" w:line="240" w:lineRule="auto"/>
              <w:ind w:left="576" w:hanging="288"/>
              <w:rPr>
                <w:sz w:val="20"/>
              </w:rPr>
            </w:pPr>
            <w:r>
              <w:rPr>
                <w:sz w:val="20"/>
              </w:rPr>
              <w:t>-</w:t>
            </w:r>
            <w:r>
              <w:rPr>
                <w:sz w:val="20"/>
              </w:rPr>
              <w:tab/>
            </w:r>
            <w:r>
              <w:rPr>
                <w:sz w:val="20"/>
              </w:rPr>
              <w:t xml:space="preserve">a </w:t>
            </w:r>
            <w:r>
              <w:rPr>
                <w:sz w:val="20"/>
                <w:lang w:val="en-US"/>
              </w:rPr>
              <w:t>'</w:t>
            </w:r>
            <w:r>
              <w:rPr>
                <w:sz w:val="20"/>
              </w:rPr>
              <w:t>0</w:t>
            </w:r>
            <w:r>
              <w:rPr>
                <w:sz w:val="20"/>
                <w:lang w:val="en-US"/>
              </w:rPr>
              <w:t>'</w:t>
            </w:r>
            <w:r>
              <w:rPr>
                <w:sz w:val="20"/>
              </w:rPr>
              <w:t xml:space="preserve"> value for a bit of the cell DTX/DRX indicator field indicates </w:t>
            </w:r>
            <w:r>
              <w:rPr>
                <w:rFonts w:hint="eastAsia"/>
                <w:sz w:val="20"/>
                <w:lang w:eastAsia="zh-CN"/>
              </w:rPr>
              <w:t xml:space="preserve">deactivation of cell </w:t>
            </w:r>
            <w:r>
              <w:rPr>
                <w:sz w:val="20"/>
              </w:rPr>
              <w:t>DTX or of cell DRX</w:t>
            </w:r>
          </w:p>
          <w:p>
            <w:pPr>
              <w:pStyle w:val="65"/>
              <w:snapToGrid w:val="0"/>
              <w:spacing w:after="240" w:afterLines="100" w:line="240" w:lineRule="auto"/>
              <w:ind w:left="576" w:hanging="288"/>
              <w:rPr>
                <w:sz w:val="20"/>
              </w:rPr>
            </w:pPr>
            <w:r>
              <w:rPr>
                <w:sz w:val="20"/>
              </w:rPr>
              <w:t>-</w:t>
            </w:r>
            <w:r>
              <w:rPr>
                <w:sz w:val="20"/>
              </w:rPr>
              <w:tab/>
            </w:r>
            <w:r>
              <w:rPr>
                <w:sz w:val="20"/>
              </w:rPr>
              <w:t xml:space="preserve">a </w:t>
            </w:r>
            <w:r>
              <w:rPr>
                <w:sz w:val="20"/>
                <w:lang w:val="en-US"/>
              </w:rPr>
              <w:t>'</w:t>
            </w:r>
            <w:r>
              <w:rPr>
                <w:sz w:val="20"/>
              </w:rPr>
              <w:t>1</w:t>
            </w:r>
            <w:r>
              <w:rPr>
                <w:sz w:val="20"/>
                <w:lang w:val="en-US"/>
              </w:rPr>
              <w:t>'</w:t>
            </w:r>
            <w:r>
              <w:rPr>
                <w:sz w:val="20"/>
              </w:rPr>
              <w:t xml:space="preserve"> value for a bit of the cell DTX/DRX indicator field indicates activation of cell DTX or of cell DRX</w:t>
            </w:r>
          </w:p>
          <w:p>
            <w:pPr>
              <w:pStyle w:val="65"/>
              <w:snapToGrid w:val="0"/>
              <w:spacing w:after="240" w:afterLines="100" w:line="240" w:lineRule="auto"/>
              <w:ind w:left="576" w:hanging="288"/>
              <w:rPr>
                <w:sz w:val="20"/>
              </w:rPr>
            </w:pPr>
            <w:r>
              <w:rPr>
                <w:sz w:val="20"/>
              </w:rPr>
              <w:t>-</w:t>
            </w:r>
            <w:r>
              <w:rPr>
                <w:sz w:val="20"/>
              </w:rPr>
              <w:tab/>
            </w:r>
            <w:r>
              <w:rPr>
                <w:sz w:val="20"/>
              </w:rPr>
              <w:t>if the serving cell is configured with a SUL carrier, the cell DTX/DRX indicator field indication for activation or deactivation of cell DRX applies to both the UL carrier and the SUL carrier</w:t>
            </w:r>
          </w:p>
          <w:p>
            <w:r>
              <w:t>A UE does not expect to monitor PDCCH for detection of DCI format 2_9 on more than one serving cells.</w:t>
            </w:r>
          </w:p>
          <w:p>
            <w:pPr>
              <w:jc w:val="center"/>
              <w:rPr>
                <w:rFonts w:ascii="Arial" w:hAnsi="Arial" w:cs="Arial"/>
                <w:sz w:val="24"/>
              </w:rPr>
            </w:pPr>
            <w:r>
              <w:rPr>
                <w:rFonts w:ascii="Arial" w:hAnsi="Arial" w:cs="Arial"/>
                <w:color w:val="FF0000"/>
                <w:sz w:val="24"/>
              </w:rPr>
              <w:t>&lt; Unchanged parts are omitted &gt;</w:t>
            </w:r>
          </w:p>
          <w:p>
            <w:pPr>
              <w:jc w:val="both"/>
              <w:rPr>
                <w:szCs w:val="20"/>
              </w:rPr>
            </w:pPr>
            <w:r>
              <w:rPr>
                <w:szCs w:val="20"/>
              </w:rPr>
              <w:t>-------------------------------------------------------End of Text proposal --------------------------------------------------</w:t>
            </w:r>
          </w:p>
          <w:p/>
        </w:tc>
      </w:tr>
    </w:tbl>
    <w:p>
      <w:pPr>
        <w:jc w:val="both"/>
        <w:rPr>
          <w:rFonts w:hint="default" w:ascii="Times New Roman Bold" w:hAnsi="Times New Roman Bold" w:cs="Times New Roman Bold"/>
          <w:b/>
          <w:bCs/>
          <w:szCs w:val="20"/>
          <w:lang w:val="en-US"/>
        </w:rPr>
      </w:pPr>
    </w:p>
    <w:p>
      <w:pPr>
        <w:jc w:val="both"/>
        <w:rPr>
          <w:rFonts w:hint="default" w:ascii="Times New Roman Bold" w:hAnsi="Times New Roman Bold" w:cs="Times New Roman Bold"/>
          <w:b/>
          <w:bCs/>
          <w:szCs w:val="20"/>
          <w:lang w:val="en-US"/>
        </w:rPr>
      </w:pPr>
    </w:p>
    <w:p>
      <w:pPr>
        <w:jc w:val="both"/>
        <w:rPr>
          <w:rFonts w:hint="default" w:ascii="Times New Roman Bold" w:hAnsi="Times New Roman Bold" w:cs="Times New Roman Bold"/>
          <w:b/>
          <w:bCs/>
          <w:szCs w:val="20"/>
          <w:lang w:val="en-US"/>
        </w:rPr>
      </w:pPr>
      <w:r>
        <w:rPr>
          <w:rFonts w:hint="default" w:ascii="Times New Roman Bold" w:hAnsi="Times New Roman Bold" w:cs="Times New Roman Bold"/>
          <w:b/>
          <w:bCs/>
          <w:szCs w:val="20"/>
          <w:lang w:val="en-US"/>
        </w:rPr>
        <w:t>TP for Alt 2</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0"/>
      </w:tblGrid>
      <w:tr>
        <w:tc>
          <w:tcPr>
            <w:tcW w:w="9010" w:type="dxa"/>
          </w:tcPr>
          <w:p>
            <w:pPr>
              <w:rPr>
                <w:rFonts w:hint="default"/>
                <w:lang w:val="en-US"/>
              </w:rPr>
            </w:pPr>
            <w:r>
              <w:t>Reason for change</w:t>
            </w:r>
            <w:r>
              <w:rPr>
                <w:rFonts w:hint="default"/>
                <w:lang w:val="en-US"/>
              </w:rPr>
              <w:t>:</w:t>
            </w:r>
          </w:p>
          <w:p>
            <w:pPr>
              <w:rPr>
                <w:rFonts w:hint="default"/>
                <w:lang w:val="en-US"/>
              </w:rPr>
            </w:pPr>
            <w:r>
              <w:t>RAN2 sent an LS R1-2311002 (R2-2311589) by requesting to add one bit of DCI 2-9 to notify UE that source cell is entering NES mode. The intention of the additional one bit (instead of reusing Cell DTX/DRX activation indication in DCI 2-9) is to decouple CHO enhancement for NES from Cell DTX/DRX activation.</w:t>
            </w:r>
          </w:p>
        </w:tc>
      </w:tr>
      <w:tr>
        <w:tc>
          <w:tcPr>
            <w:tcW w:w="9010" w:type="dxa"/>
          </w:tcPr>
          <w:p>
            <w:pPr>
              <w:rPr>
                <w:rFonts w:hint="default"/>
                <w:lang w:val="en-US"/>
              </w:rPr>
            </w:pPr>
            <w:r>
              <w:t>Summary of change</w:t>
            </w:r>
            <w:r>
              <w:rPr>
                <w:rFonts w:hint="default"/>
                <w:lang w:val="en-US"/>
              </w:rPr>
              <w:t>:</w:t>
            </w:r>
          </w:p>
          <w:p>
            <w:pPr>
              <w:rPr>
                <w:rFonts w:hint="default"/>
                <w:lang w:val="en-US"/>
              </w:rPr>
            </w:pPr>
            <w:r>
              <w:t>One bit per serving cell for notifying UE to enter NES mode is added in DCI 2-9.</w:t>
            </w:r>
          </w:p>
        </w:tc>
      </w:tr>
      <w:tr>
        <w:tc>
          <w:tcPr>
            <w:tcW w:w="9010" w:type="dxa"/>
          </w:tcPr>
          <w:p>
            <w:pPr>
              <w:rPr>
                <w:rFonts w:hint="default"/>
                <w:lang w:val="en-US"/>
              </w:rPr>
            </w:pPr>
            <w:r>
              <w:t>Consequences if not approved</w:t>
            </w:r>
            <w:r>
              <w:rPr>
                <w:rFonts w:hint="default"/>
                <w:lang w:val="en-US"/>
              </w:rPr>
              <w:t>:</w:t>
            </w:r>
          </w:p>
          <w:p>
            <w:pPr>
              <w:rPr>
                <w:rFonts w:hint="default"/>
                <w:lang w:val="en-US"/>
              </w:rPr>
            </w:pPr>
            <w:r>
              <w:t>CHO enhancement for NES is not supported.</w:t>
            </w:r>
          </w:p>
        </w:tc>
      </w:tr>
      <w:tr>
        <w:tc>
          <w:tcPr>
            <w:tcW w:w="9010" w:type="dxa"/>
          </w:tcPr>
          <w:p/>
          <w:p>
            <w:pPr>
              <w:jc w:val="both"/>
              <w:rPr>
                <w:szCs w:val="20"/>
              </w:rPr>
            </w:pPr>
            <w:r>
              <w:rPr>
                <w:szCs w:val="20"/>
              </w:rPr>
              <w:t>---------------------------------------------Text proposal for TS38.212 for Alt 2 -----------------------------------------</w:t>
            </w:r>
          </w:p>
          <w:p>
            <w:pPr>
              <w:jc w:val="center"/>
              <w:rPr>
                <w:rFonts w:ascii="Arial" w:hAnsi="Arial" w:cs="Arial"/>
                <w:color w:val="FF0000"/>
                <w:sz w:val="28"/>
                <w:szCs w:val="28"/>
              </w:rPr>
            </w:pPr>
            <w:r>
              <w:rPr>
                <w:rFonts w:ascii="Arial" w:hAnsi="Arial" w:cs="Arial"/>
                <w:color w:val="FF0000"/>
                <w:sz w:val="24"/>
              </w:rPr>
              <w:t>&lt; Unchanged parts are omitted &gt;</w:t>
            </w:r>
          </w:p>
          <w:p>
            <w:r>
              <w:t>7.3.1.3.10</w:t>
            </w:r>
            <w:r>
              <w:tab/>
            </w:r>
            <w:r>
              <w:t>Format 2_9</w:t>
            </w:r>
          </w:p>
          <w:p>
            <w:pPr>
              <w:snapToGrid w:val="0"/>
            </w:pPr>
            <w:r>
              <w:t xml:space="preserve">DCI format 2_9 is used for activating or de-activating the cell DTX and/or DRX configuration of one or multiple serving cells </w:t>
            </w:r>
            <w:r>
              <w:rPr>
                <w:color w:val="FF0000"/>
                <w:u w:val="single"/>
              </w:rPr>
              <w:t>or notifying the serving cell is entering NES mode to trigger CHO enhancement of NES</w:t>
            </w:r>
            <w:r>
              <w:rPr>
                <w:color w:val="FF0000"/>
              </w:rPr>
              <w:t xml:space="preserve"> </w:t>
            </w:r>
            <w:r>
              <w:rPr>
                <w:rFonts w:ascii="Times" w:hAnsi="Times" w:eastAsia="Batang"/>
                <w:bCs/>
              </w:rPr>
              <w:t>for one or more UEs</w:t>
            </w:r>
            <w:r>
              <w:t xml:space="preserve">. </w:t>
            </w:r>
          </w:p>
          <w:p>
            <w:r>
              <w:t>The following information is transmitted by means of the DCI format 2_9 with CRC scrambled by cellDTRX-RNTI:</w:t>
            </w:r>
          </w:p>
          <w:p>
            <w:pPr>
              <w:pStyle w:val="65"/>
              <w:rPr>
                <w:rFonts w:eastAsiaTheme="minorEastAsia"/>
                <w:kern w:val="0"/>
                <w:sz w:val="20"/>
              </w:rPr>
            </w:pPr>
            <w:r>
              <w:rPr>
                <w:rFonts w:eastAsiaTheme="minorEastAsia"/>
                <w:kern w:val="0"/>
                <w:sz w:val="20"/>
              </w:rPr>
              <w:t>-</w:t>
            </w:r>
            <w:r>
              <w:rPr>
                <w:rFonts w:eastAsiaTheme="minorEastAsia"/>
                <w:kern w:val="0"/>
                <w:sz w:val="20"/>
                <w:lang w:eastAsia="zh-CN"/>
              </w:rPr>
              <w:tab/>
            </w:r>
            <w:r>
              <w:rPr>
                <w:rFonts w:eastAsiaTheme="minorEastAsia"/>
                <w:kern w:val="0"/>
                <w:sz w:val="20"/>
                <w:lang w:eastAsia="zh-CN"/>
              </w:rPr>
              <w:t xml:space="preserve">block </w:t>
            </w:r>
            <w:r>
              <w:rPr>
                <w:rFonts w:eastAsiaTheme="minorEastAsia"/>
                <w:kern w:val="0"/>
                <w:sz w:val="20"/>
              </w:rPr>
              <w:t xml:space="preserve">number 1, </w:t>
            </w:r>
            <w:r>
              <w:rPr>
                <w:rFonts w:eastAsiaTheme="minorEastAsia"/>
                <w:kern w:val="0"/>
                <w:sz w:val="20"/>
                <w:lang w:eastAsia="zh-CN"/>
              </w:rPr>
              <w:t>block</w:t>
            </w:r>
            <w:r>
              <w:rPr>
                <w:rFonts w:eastAsiaTheme="minorEastAsia"/>
                <w:kern w:val="0"/>
                <w:sz w:val="20"/>
              </w:rPr>
              <w:t xml:space="preserve"> number 2,…, </w:t>
            </w:r>
            <w:r>
              <w:rPr>
                <w:rFonts w:eastAsiaTheme="minorEastAsia"/>
                <w:kern w:val="0"/>
                <w:sz w:val="20"/>
                <w:lang w:eastAsia="zh-CN"/>
              </w:rPr>
              <w:t>block</w:t>
            </w:r>
            <w:r>
              <w:rPr>
                <w:rFonts w:eastAsiaTheme="minorEastAsia"/>
                <w:kern w:val="0"/>
                <w:sz w:val="20"/>
              </w:rPr>
              <w:t xml:space="preserve"> number N</w:t>
            </w:r>
          </w:p>
          <w:p>
            <w:pPr>
              <w:pStyle w:val="65"/>
              <w:snapToGrid w:val="0"/>
              <w:spacing w:line="240" w:lineRule="auto"/>
              <w:ind w:left="576" w:hanging="288"/>
              <w:rPr>
                <w:rFonts w:eastAsiaTheme="minorEastAsia"/>
                <w:kern w:val="0"/>
                <w:sz w:val="20"/>
                <w:lang w:eastAsia="ko-KR"/>
              </w:rPr>
            </w:pPr>
            <w:r>
              <w:rPr>
                <w:rFonts w:eastAsiaTheme="minorEastAsia"/>
                <w:kern w:val="0"/>
                <w:sz w:val="20"/>
              </w:rPr>
              <w:tab/>
            </w:r>
            <w:r>
              <w:rPr>
                <w:rFonts w:eastAsiaTheme="minorEastAsia"/>
                <w:kern w:val="0"/>
                <w:sz w:val="20"/>
              </w:rPr>
              <w:t xml:space="preserve">where </w:t>
            </w:r>
            <w:r>
              <w:rPr>
                <w:rFonts w:eastAsiaTheme="minorEastAsia"/>
                <w:kern w:val="0"/>
                <w:sz w:val="20"/>
                <w:lang w:eastAsia="ko-KR"/>
              </w:rPr>
              <w:t xml:space="preserve">the starting position of a block </w:t>
            </w:r>
            <w:r>
              <w:rPr>
                <w:rFonts w:eastAsiaTheme="minorEastAsia"/>
                <w:kern w:val="0"/>
                <w:sz w:val="20"/>
              </w:rPr>
              <w:t>is determined by the parameter positionInDCI-cellDTRX</w:t>
            </w:r>
            <w:r>
              <w:rPr>
                <w:rFonts w:eastAsiaTheme="minorEastAsia"/>
                <w:color w:val="FF0000"/>
                <w:kern w:val="0"/>
                <w:sz w:val="20"/>
                <w:lang w:val="en-US"/>
              </w:rPr>
              <w:t xml:space="preserve"> </w:t>
            </w:r>
            <w:r>
              <w:rPr>
                <w:rFonts w:eastAsiaTheme="minorEastAsia"/>
                <w:color w:val="FF0000"/>
                <w:kern w:val="0"/>
                <w:sz w:val="20"/>
                <w:u w:val="single"/>
                <w:lang w:val="en-US"/>
              </w:rPr>
              <w:t>or positionInDCI-CHO</w:t>
            </w:r>
            <w:r>
              <w:rPr>
                <w:rFonts w:eastAsiaTheme="minorEastAsia"/>
                <w:color w:val="FF0000"/>
                <w:kern w:val="0"/>
                <w:sz w:val="20"/>
                <w:lang w:val="en-US"/>
              </w:rPr>
              <w:t xml:space="preserve"> </w:t>
            </w:r>
            <w:r>
              <w:rPr>
                <w:rFonts w:eastAsiaTheme="minorEastAsia"/>
                <w:kern w:val="0"/>
                <w:sz w:val="20"/>
                <w:lang w:eastAsia="ko-KR"/>
              </w:rPr>
              <w:t>provided</w:t>
            </w:r>
            <w:r>
              <w:rPr>
                <w:rFonts w:eastAsiaTheme="minorEastAsia"/>
                <w:kern w:val="0"/>
                <w:sz w:val="20"/>
                <w:lang w:val="en-US" w:eastAsia="ko-KR"/>
              </w:rPr>
              <w:t xml:space="preserve"> </w:t>
            </w:r>
            <w:r>
              <w:rPr>
                <w:rFonts w:eastAsiaTheme="minorEastAsia"/>
                <w:kern w:val="0"/>
                <w:sz w:val="20"/>
                <w:lang w:eastAsia="ko-KR"/>
              </w:rPr>
              <w:t>by higher layers for the UE.</w:t>
            </w:r>
          </w:p>
          <w:p>
            <w:r>
              <w:t xml:space="preserve">If the UE is configured with higher layer parameter </w:t>
            </w:r>
            <w:r>
              <w:rPr>
                <w:i/>
                <w:color w:val="FF0000"/>
                <w:u w:val="single"/>
              </w:rPr>
              <w:t xml:space="preserve">cellDTRX-RNTI, </w:t>
            </w:r>
            <w:r>
              <w:rPr>
                <w:rFonts w:ascii="Times New Roman Italic" w:hAnsi="Times New Roman Italic" w:cs="Times New Roman Italic"/>
                <w:i/>
                <w:color w:val="FF0000"/>
                <w:u w:val="single"/>
              </w:rPr>
              <w:t xml:space="preserve">dci-Format2-9 </w:t>
            </w:r>
            <w:r>
              <w:rPr>
                <w:iCs/>
                <w:color w:val="FF0000"/>
                <w:u w:val="single"/>
              </w:rPr>
              <w:t xml:space="preserve">and </w:t>
            </w:r>
            <w:r>
              <w:rPr>
                <w:rFonts w:ascii="Times New Roman Italic" w:hAnsi="Times New Roman Italic" w:cs="Times New Roman Italic" w:eastAsiaTheme="minorEastAsia"/>
                <w:i/>
                <w:iCs/>
                <w:color w:val="FF0000"/>
                <w:szCs w:val="20"/>
                <w:u w:val="single"/>
              </w:rPr>
              <w:t>positionInDCI-cellDTRX</w:t>
            </w:r>
            <w:r>
              <w:rPr>
                <w:u w:val="single"/>
              </w:rPr>
              <w:t>,</w:t>
            </w:r>
            <w:r>
              <w:t xml:space="preserve"> one or more blocks are configured for the UE </w:t>
            </w:r>
            <w:r>
              <w:rPr>
                <w:rFonts w:eastAsiaTheme="minorEastAsia"/>
                <w:color w:val="FF0000"/>
                <w:szCs w:val="20"/>
              </w:rPr>
              <w:t xml:space="preserve"> </w:t>
            </w:r>
            <w:r>
              <w:t>by higher layers, with t</w:t>
            </w:r>
            <w:r>
              <w:rPr>
                <w:lang w:eastAsia="ko-KR"/>
              </w:rPr>
              <w:t>he following field defined for each block:</w:t>
            </w:r>
          </w:p>
          <w:p>
            <w:pPr>
              <w:pStyle w:val="65"/>
              <w:spacing w:after="240" w:afterLines="100" w:line="240" w:lineRule="auto"/>
              <w:ind w:left="576" w:hanging="288"/>
              <w:rPr>
                <w:rFonts w:eastAsiaTheme="minorEastAsia"/>
                <w:color w:val="FF0000"/>
                <w:kern w:val="0"/>
                <w:sz w:val="20"/>
                <w:lang w:val="en-US" w:eastAsia="zh-CN"/>
              </w:rPr>
            </w:pPr>
            <w:r>
              <w:rPr>
                <w:rFonts w:eastAsiaTheme="minorEastAsia"/>
                <w:kern w:val="0"/>
                <w:sz w:val="20"/>
              </w:rPr>
              <w:t>-</w:t>
            </w:r>
            <w:r>
              <w:rPr>
                <w:rFonts w:eastAsiaTheme="minorEastAsia"/>
                <w:kern w:val="0"/>
                <w:sz w:val="20"/>
              </w:rPr>
              <w:tab/>
            </w:r>
            <w:r>
              <w:rPr>
                <w:rFonts w:eastAsiaTheme="minorEastAsia"/>
                <w:kern w:val="0"/>
                <w:sz w:val="20"/>
              </w:rPr>
              <w:t>Cell DTX/DRX indication - 2 bits</w:t>
            </w:r>
            <w:r>
              <w:rPr>
                <w:rFonts w:hint="eastAsia" w:eastAsiaTheme="minorEastAsia"/>
                <w:kern w:val="0"/>
                <w:sz w:val="20"/>
              </w:rPr>
              <w:t xml:space="preserve"> </w:t>
            </w:r>
            <w:r>
              <w:rPr>
                <w:rFonts w:eastAsiaTheme="minorEastAsia"/>
                <w:kern w:val="0"/>
                <w:sz w:val="20"/>
              </w:rPr>
              <w:t>i</w:t>
            </w:r>
            <w:r>
              <w:rPr>
                <w:rFonts w:hint="eastAsia" w:eastAsiaTheme="minorEastAsia"/>
                <w:kern w:val="0"/>
                <w:sz w:val="20"/>
              </w:rPr>
              <w:t>f</w:t>
            </w:r>
            <w:r>
              <w:rPr>
                <w:rFonts w:eastAsiaTheme="minorEastAsia"/>
                <w:kern w:val="0"/>
                <w:sz w:val="20"/>
              </w:rPr>
              <w:t xml:space="preserve"> XYZ, with the MSB corresponding to cell DTX configuration and the LSB corresponding to cell DRX configuration</w:t>
            </w:r>
            <w:r>
              <w:rPr>
                <w:rFonts w:hint="eastAsia" w:eastAsiaTheme="minorEastAsia"/>
                <w:kern w:val="0"/>
                <w:sz w:val="20"/>
              </w:rPr>
              <w:t>;</w:t>
            </w:r>
            <w:r>
              <w:rPr>
                <w:rFonts w:eastAsiaTheme="minorEastAsia"/>
                <w:kern w:val="0"/>
                <w:sz w:val="20"/>
              </w:rPr>
              <w:t xml:space="preserve"> otherwise 1 bit. </w:t>
            </w:r>
          </w:p>
          <w:p>
            <w:pPr>
              <w:rPr>
                <w:rFonts w:eastAsiaTheme="minorEastAsia"/>
                <w:color w:val="FF0000"/>
                <w:szCs w:val="20"/>
                <w:u w:val="single"/>
              </w:rPr>
            </w:pPr>
            <w:r>
              <w:rPr>
                <w:color w:val="FF0000"/>
                <w:u w:val="single"/>
              </w:rPr>
              <w:t xml:space="preserve">If the UE is configured with higher layer parameter </w:t>
            </w:r>
            <w:r>
              <w:rPr>
                <w:i/>
                <w:color w:val="FF0000"/>
                <w:u w:val="single"/>
              </w:rPr>
              <w:t xml:space="preserve">cellDTRX-RNTI, </w:t>
            </w:r>
            <w:r>
              <w:rPr>
                <w:rFonts w:ascii="Times New Roman Italic" w:hAnsi="Times New Roman Italic" w:cs="Times New Roman Italic"/>
                <w:i/>
                <w:color w:val="FF0000"/>
                <w:u w:val="single"/>
              </w:rPr>
              <w:t xml:space="preserve">dci-Format2-9 </w:t>
            </w:r>
            <w:r>
              <w:rPr>
                <w:iCs/>
                <w:color w:val="FF0000"/>
                <w:u w:val="single"/>
              </w:rPr>
              <w:t xml:space="preserve">and </w:t>
            </w:r>
            <w:r>
              <w:rPr>
                <w:rFonts w:ascii="Times New Roman Italic" w:hAnsi="Times New Roman Italic" w:cs="Times New Roman Italic" w:eastAsiaTheme="minorEastAsia"/>
                <w:i/>
                <w:iCs/>
                <w:color w:val="FF0000"/>
                <w:szCs w:val="20"/>
                <w:u w:val="single"/>
              </w:rPr>
              <w:t>positionInDCI-CHO</w:t>
            </w:r>
            <w:r>
              <w:rPr>
                <w:color w:val="FF0000"/>
                <w:u w:val="single"/>
              </w:rPr>
              <w:t>, one block is configured for the UE by higher layers, with t</w:t>
            </w:r>
            <w:r>
              <w:rPr>
                <w:color w:val="FF0000"/>
                <w:u w:val="single"/>
                <w:lang w:eastAsia="ko-KR"/>
              </w:rPr>
              <w:t>he following field defined for the block:</w:t>
            </w:r>
          </w:p>
          <w:p>
            <w:pPr>
              <w:pStyle w:val="65"/>
              <w:snapToGrid w:val="0"/>
              <w:spacing w:line="240" w:lineRule="auto"/>
              <w:ind w:left="600" w:leftChars="150" w:hanging="300" w:hangingChars="150"/>
              <w:rPr>
                <w:rFonts w:eastAsiaTheme="minorEastAsia"/>
                <w:kern w:val="0"/>
                <w:sz w:val="20"/>
                <w:u w:val="single"/>
              </w:rPr>
            </w:pPr>
            <w:r>
              <w:rPr>
                <w:rFonts w:eastAsiaTheme="minorEastAsia"/>
                <w:color w:val="FF0000"/>
                <w:kern w:val="0"/>
                <w:sz w:val="20"/>
                <w:u w:val="single"/>
                <w:lang w:val="en-US" w:eastAsia="zh-CN"/>
              </w:rPr>
              <w:t xml:space="preserve">-    NES CHO indication - </w:t>
            </w:r>
            <w:r>
              <w:rPr>
                <w:rFonts w:hint="default" w:eastAsiaTheme="minorEastAsia"/>
                <w:color w:val="FF0000"/>
                <w:kern w:val="0"/>
                <w:sz w:val="20"/>
                <w:u w:val="single"/>
                <w:lang w:val="en-US" w:eastAsia="zh-CN"/>
              </w:rPr>
              <w:t xml:space="preserve">1bit if </w:t>
            </w:r>
            <w:r>
              <w:rPr>
                <w:rFonts w:hint="default" w:ascii="Times New Roman Italic" w:hAnsi="Times New Roman Italic" w:cs="Times New Roman Italic" w:eastAsiaTheme="minorEastAsia"/>
                <w:i/>
                <w:iCs/>
                <w:color w:val="FF0000"/>
                <w:kern w:val="0"/>
                <w:sz w:val="20"/>
                <w:u w:val="single"/>
                <w:lang w:val="en-US" w:eastAsia="zh-CN"/>
              </w:rPr>
              <w:t xml:space="preserve">conditionalReconfiguration </w:t>
            </w:r>
            <w:r>
              <w:rPr>
                <w:rFonts w:hint="default" w:eastAsiaTheme="minorEastAsia"/>
                <w:color w:val="FF0000"/>
                <w:kern w:val="0"/>
                <w:sz w:val="20"/>
                <w:u w:val="single"/>
                <w:lang w:val="en-US" w:eastAsia="zh-CN"/>
              </w:rPr>
              <w:t xml:space="preserve">is configured and the </w:t>
            </w:r>
            <w:r>
              <w:rPr>
                <w:rFonts w:hint="default" w:ascii="Times New Roman Italic" w:hAnsi="Times New Roman Italic" w:cs="Times New Roman Italic" w:eastAsiaTheme="minorEastAsia"/>
                <w:i/>
                <w:iCs/>
                <w:color w:val="FF0000"/>
                <w:kern w:val="0"/>
                <w:sz w:val="20"/>
                <w:u w:val="single"/>
                <w:lang w:val="en-US" w:eastAsia="zh-CN"/>
              </w:rPr>
              <w:t xml:space="preserve">ServCellIndex  </w:t>
            </w:r>
            <w:r>
              <w:rPr>
                <w:rFonts w:hint="default" w:eastAsiaTheme="minorEastAsia"/>
                <w:color w:val="FF0000"/>
                <w:kern w:val="0"/>
                <w:sz w:val="20"/>
                <w:u w:val="single"/>
                <w:lang w:val="en-US" w:eastAsia="zh-CN"/>
              </w:rPr>
              <w:t>of this serving cell is 0</w:t>
            </w:r>
            <w:r>
              <w:rPr>
                <w:rFonts w:eastAsiaTheme="minorEastAsia"/>
                <w:color w:val="FF0000"/>
                <w:kern w:val="0"/>
                <w:sz w:val="20"/>
                <w:u w:val="single"/>
                <w:lang w:val="en-US" w:eastAsia="zh-CN"/>
              </w:rPr>
              <w:t>. </w:t>
            </w:r>
          </w:p>
          <w:p>
            <w:pPr>
              <w:pStyle w:val="65"/>
              <w:snapToGrid w:val="0"/>
              <w:spacing w:line="240" w:lineRule="auto"/>
              <w:ind w:left="576" w:hanging="288"/>
              <w:rPr>
                <w:rFonts w:eastAsiaTheme="minorEastAsia"/>
                <w:kern w:val="0"/>
                <w:sz w:val="20"/>
              </w:rPr>
            </w:pPr>
            <w:bookmarkStart w:id="4" w:name="_GoBack"/>
            <w:bookmarkEnd w:id="4"/>
          </w:p>
          <w:p>
            <w:r>
              <w:t xml:space="preserve">The size of DCI format 2_9 is indicated by the higher layer parameter </w:t>
            </w:r>
            <w:r>
              <w:rPr>
                <w:i/>
              </w:rPr>
              <w:t>sizeDCI-2-9</w:t>
            </w:r>
            <w:r>
              <w:t>.</w:t>
            </w:r>
          </w:p>
          <w:p>
            <w:pPr>
              <w:jc w:val="both"/>
              <w:rPr>
                <w:szCs w:val="20"/>
              </w:rPr>
            </w:pPr>
            <w:r>
              <w:rPr>
                <w:szCs w:val="20"/>
              </w:rPr>
              <w:t>-------------------------------------------------------End of Text proposal --------------------------------------------------</w:t>
            </w:r>
          </w:p>
          <w:p>
            <w:pPr>
              <w:jc w:val="both"/>
              <w:rPr>
                <w:szCs w:val="20"/>
                <w:highlight w:val="none"/>
              </w:rPr>
            </w:pPr>
          </w:p>
          <w:p>
            <w:pPr>
              <w:rPr>
                <w:highlight w:val="none"/>
              </w:rPr>
            </w:pPr>
          </w:p>
          <w:p>
            <w:pPr>
              <w:jc w:val="both"/>
              <w:rPr>
                <w:rFonts w:ascii="Arial" w:hAnsi="Arial" w:cs="Arial"/>
                <w:sz w:val="24"/>
                <w:highlight w:val="none"/>
              </w:rPr>
            </w:pPr>
            <w:r>
              <w:rPr>
                <w:szCs w:val="20"/>
                <w:highlight w:val="none"/>
              </w:rPr>
              <w:t xml:space="preserve">-----------------------------------------Text proposal for TS38.213 for Alt </w:t>
            </w:r>
            <w:r>
              <w:rPr>
                <w:rFonts w:hint="default"/>
                <w:szCs w:val="20"/>
                <w:highlight w:val="none"/>
                <w:lang w:val="en-US"/>
              </w:rPr>
              <w:t>2</w:t>
            </w:r>
            <w:r>
              <w:rPr>
                <w:szCs w:val="20"/>
                <w:highlight w:val="none"/>
              </w:rPr>
              <w:t xml:space="preserve"> ---------------------------------------------</w:t>
            </w:r>
          </w:p>
          <w:p>
            <w:pPr>
              <w:jc w:val="both"/>
              <w:rPr>
                <w:rFonts w:hint="default" w:ascii="Times New Roman Regular" w:hAnsi="Times New Roman Regular" w:cs="Times New Roman Regular"/>
                <w:sz w:val="20"/>
                <w:szCs w:val="20"/>
                <w:highlight w:val="none"/>
              </w:rPr>
            </w:pPr>
            <w:r>
              <w:rPr>
                <w:rFonts w:hint="default" w:ascii="Times New Roman Regular" w:hAnsi="Times New Roman Regular" w:cs="Times New Roman Regular"/>
                <w:sz w:val="20"/>
                <w:szCs w:val="20"/>
                <w:highlight w:val="none"/>
              </w:rPr>
              <w:t>TS 38.213</w:t>
            </w:r>
          </w:p>
          <w:p>
            <w:pPr>
              <w:jc w:val="center"/>
              <w:rPr>
                <w:rFonts w:ascii="Arial" w:hAnsi="Arial" w:cs="Arial"/>
                <w:color w:val="FF0000"/>
                <w:sz w:val="24"/>
              </w:rPr>
            </w:pPr>
            <w:r>
              <w:rPr>
                <w:rFonts w:ascii="Arial" w:hAnsi="Arial" w:cs="Arial"/>
                <w:color w:val="FF0000"/>
                <w:sz w:val="24"/>
              </w:rPr>
              <w:t>&lt; Unchanged parts are omitted &gt;</w:t>
            </w:r>
          </w:p>
          <w:p>
            <w:r>
              <w:t>11.5</w:t>
            </w:r>
            <w:r>
              <w:tab/>
            </w:r>
            <w:r>
              <w:t>Adaptation of cell operation</w:t>
            </w:r>
          </w:p>
          <w:p>
            <w:pPr>
              <w:rPr>
                <w:highlight w:val="yellow"/>
                <w:u w:val="single"/>
              </w:rPr>
            </w:pPr>
            <w:r>
              <w:t xml:space="preserve">A UE configured for operation on a serving cell according to one or both of a cell DTX operation by </w:t>
            </w:r>
            <w:r>
              <w:rPr>
                <w:i/>
                <w:iCs/>
              </w:rPr>
              <w:t>cellDTXConfig</w:t>
            </w:r>
            <w:r>
              <w:t xml:space="preserve"> and a cell DRX operation by </w:t>
            </w:r>
            <w:r>
              <w:rPr>
                <w:i/>
                <w:iCs/>
              </w:rPr>
              <w:t>cellDRXConfig</w:t>
            </w:r>
            <w:r>
              <w:t xml:space="preserve"> for the serving cell [11, TS 38.331], can be additionally provided by </w:t>
            </w:r>
            <w:r>
              <w:rPr>
                <w:i/>
                <w:iCs/>
              </w:rPr>
              <w:t>dci-Forma</w:t>
            </w:r>
            <w:r>
              <w:rPr>
                <w:i/>
                <w:iCs/>
                <w:highlight w:val="none"/>
              </w:rPr>
              <w:t>t2-9</w:t>
            </w:r>
            <w:r>
              <w:rPr>
                <w:highlight w:val="none"/>
              </w:rPr>
              <w:t xml:space="preserve"> a Type3-PDCCH CSS set to monitor PDCCH for detection of DCI format 2_9 as described in clause 10.1</w:t>
            </w:r>
            <w:r>
              <w:rPr>
                <w:color w:val="FF0000"/>
                <w:highlight w:val="none"/>
                <w:u w:val="single"/>
              </w:rPr>
              <w:t xml:space="preserve">, </w:t>
            </w:r>
            <w:r>
              <w:rPr>
                <w:iCs/>
                <w:color w:val="FF0000"/>
                <w:highlight w:val="none"/>
                <w:u w:val="single"/>
              </w:rPr>
              <w:t xml:space="preserve">and </w:t>
            </w:r>
            <w:r>
              <w:rPr>
                <w:color w:val="FF0000"/>
                <w:highlight w:val="none"/>
                <w:u w:val="single"/>
              </w:rPr>
              <w:t xml:space="preserve">a location in DCI format 2_9 by </w:t>
            </w:r>
            <w:r>
              <w:rPr>
                <w:i/>
                <w:iCs/>
                <w:color w:val="FF0000"/>
                <w:highlight w:val="none"/>
                <w:u w:val="single"/>
              </w:rPr>
              <w:t>position-inDCI-</w:t>
            </w:r>
            <w:r>
              <w:rPr>
                <w:rFonts w:hint="default"/>
                <w:i/>
                <w:iCs/>
                <w:color w:val="FF0000"/>
                <w:highlight w:val="none"/>
                <w:u w:val="single"/>
              </w:rPr>
              <w:t>cellDTRX</w:t>
            </w:r>
            <w:r>
              <w:rPr>
                <w:rFonts w:hint="default"/>
                <w:i/>
                <w:iCs/>
                <w:color w:val="FF0000"/>
                <w:highlight w:val="none"/>
                <w:u w:val="single"/>
                <w:lang w:val="en-US"/>
              </w:rPr>
              <w:t xml:space="preserve"> </w:t>
            </w:r>
            <w:r>
              <w:rPr>
                <w:color w:val="FF0000"/>
                <w:highlight w:val="none"/>
                <w:u w:val="single"/>
              </w:rPr>
              <w:t>of a cell DTX/DRX indicator field for the serving cell</w:t>
            </w:r>
            <w:r>
              <w:rPr>
                <w:color w:val="FF0000"/>
                <w:szCs w:val="20"/>
                <w:highlight w:val="none"/>
                <w:u w:val="single"/>
              </w:rPr>
              <w:t>,</w:t>
            </w:r>
            <w:r>
              <w:rPr>
                <w:highlight w:val="none"/>
                <w:u w:val="single"/>
              </w:rPr>
              <w:t xml:space="preserve"> </w:t>
            </w:r>
          </w:p>
          <w:p>
            <w:pPr>
              <w:pStyle w:val="65"/>
              <w:snapToGrid w:val="0"/>
              <w:spacing w:after="360" w:afterLines="150" w:line="240" w:lineRule="auto"/>
              <w:ind w:left="576" w:hanging="288"/>
              <w:rPr>
                <w:sz w:val="20"/>
              </w:rPr>
            </w:pPr>
            <w:r>
              <w:t>-</w:t>
            </w:r>
            <w:r>
              <w:tab/>
            </w:r>
            <w:r>
              <w:rPr>
                <w:sz w:val="20"/>
              </w:rPr>
              <w:t>if the UE is configured with both cell DTX operation and cell DRX operation for the serving cell, the cell DTX/DRX indicator field includes two bits where the first bit indicates the cell DTX operation and the second bit indicates the cell DRX operation</w:t>
            </w:r>
          </w:p>
          <w:p>
            <w:pPr>
              <w:pStyle w:val="65"/>
              <w:snapToGrid w:val="0"/>
              <w:spacing w:after="240" w:afterLines="100" w:line="240" w:lineRule="auto"/>
              <w:ind w:left="576" w:hanging="288"/>
              <w:rPr>
                <w:sz w:val="20"/>
              </w:rPr>
            </w:pPr>
            <w:r>
              <w:rPr>
                <w:sz w:val="20"/>
              </w:rPr>
              <w:t>-</w:t>
            </w:r>
            <w:r>
              <w:rPr>
                <w:sz w:val="20"/>
              </w:rPr>
              <w:tab/>
            </w:r>
            <w:r>
              <w:rPr>
                <w:sz w:val="20"/>
              </w:rPr>
              <w:t>if the UE is configured with only one of the cell DTX operation and cell DRX operation for the serving cell,</w:t>
            </w:r>
            <w:r>
              <w:rPr>
                <w:sz w:val="20"/>
                <w:lang w:val="en-US"/>
              </w:rPr>
              <w:t xml:space="preserve"> </w:t>
            </w:r>
            <w:r>
              <w:rPr>
                <w:color w:val="FF0000"/>
                <w:sz w:val="20"/>
                <w:lang w:val="en-US"/>
              </w:rPr>
              <w:t xml:space="preserve"> </w:t>
            </w:r>
            <w:r>
              <w:rPr>
                <w:sz w:val="20"/>
              </w:rPr>
              <w:t>the cell DTX/DRX indicator field includes one bit indicating one of the cell DTX operation and cell DRX operation, respectively, for the serving cell</w:t>
            </w:r>
          </w:p>
          <w:p>
            <w:pPr>
              <w:pStyle w:val="65"/>
              <w:snapToGrid w:val="0"/>
              <w:spacing w:after="240" w:afterLines="100" w:line="240" w:lineRule="auto"/>
              <w:ind w:left="576" w:hanging="288"/>
              <w:rPr>
                <w:sz w:val="20"/>
              </w:rPr>
            </w:pPr>
            <w:r>
              <w:rPr>
                <w:sz w:val="20"/>
              </w:rPr>
              <w:t>-</w:t>
            </w:r>
            <w:r>
              <w:rPr>
                <w:sz w:val="20"/>
              </w:rPr>
              <w:tab/>
            </w:r>
            <w:r>
              <w:rPr>
                <w:sz w:val="20"/>
              </w:rPr>
              <w:t xml:space="preserve">a </w:t>
            </w:r>
            <w:r>
              <w:rPr>
                <w:sz w:val="20"/>
                <w:lang w:val="en-US"/>
              </w:rPr>
              <w:t>'</w:t>
            </w:r>
            <w:r>
              <w:rPr>
                <w:sz w:val="20"/>
              </w:rPr>
              <w:t>0</w:t>
            </w:r>
            <w:r>
              <w:rPr>
                <w:sz w:val="20"/>
                <w:lang w:val="en-US"/>
              </w:rPr>
              <w:t>'</w:t>
            </w:r>
            <w:r>
              <w:rPr>
                <w:sz w:val="20"/>
              </w:rPr>
              <w:t xml:space="preserve"> value for a bit of the cell DTX/DRX indicator field indicates </w:t>
            </w:r>
            <w:r>
              <w:rPr>
                <w:rFonts w:hint="eastAsia"/>
                <w:sz w:val="20"/>
                <w:lang w:eastAsia="zh-CN"/>
              </w:rPr>
              <w:t xml:space="preserve">deactivation of cell </w:t>
            </w:r>
            <w:r>
              <w:rPr>
                <w:sz w:val="20"/>
              </w:rPr>
              <w:t>DTX or of cell DRX</w:t>
            </w:r>
          </w:p>
          <w:p>
            <w:pPr>
              <w:pStyle w:val="65"/>
              <w:snapToGrid w:val="0"/>
              <w:spacing w:after="240" w:afterLines="100" w:line="240" w:lineRule="auto"/>
              <w:ind w:left="576" w:hanging="288"/>
              <w:rPr>
                <w:sz w:val="20"/>
              </w:rPr>
            </w:pPr>
            <w:r>
              <w:rPr>
                <w:sz w:val="20"/>
              </w:rPr>
              <w:t>-</w:t>
            </w:r>
            <w:r>
              <w:rPr>
                <w:sz w:val="20"/>
              </w:rPr>
              <w:tab/>
            </w:r>
            <w:r>
              <w:rPr>
                <w:sz w:val="20"/>
              </w:rPr>
              <w:t xml:space="preserve">a </w:t>
            </w:r>
            <w:r>
              <w:rPr>
                <w:sz w:val="20"/>
                <w:lang w:val="en-US"/>
              </w:rPr>
              <w:t>'</w:t>
            </w:r>
            <w:r>
              <w:rPr>
                <w:sz w:val="20"/>
              </w:rPr>
              <w:t>1</w:t>
            </w:r>
            <w:r>
              <w:rPr>
                <w:sz w:val="20"/>
                <w:lang w:val="en-US"/>
              </w:rPr>
              <w:t>'</w:t>
            </w:r>
            <w:r>
              <w:rPr>
                <w:sz w:val="20"/>
              </w:rPr>
              <w:t xml:space="preserve"> value for a bit of the cell DTX/DRX indicator field indicates activation of cell DTX or of cell DRX</w:t>
            </w:r>
          </w:p>
          <w:p>
            <w:pPr>
              <w:pStyle w:val="65"/>
              <w:snapToGrid w:val="0"/>
              <w:spacing w:after="240" w:afterLines="100" w:line="240" w:lineRule="auto"/>
              <w:ind w:left="576" w:hanging="288"/>
              <w:rPr>
                <w:sz w:val="20"/>
              </w:rPr>
            </w:pPr>
            <w:r>
              <w:rPr>
                <w:sz w:val="20"/>
              </w:rPr>
              <w:t>-</w:t>
            </w:r>
            <w:r>
              <w:rPr>
                <w:sz w:val="20"/>
              </w:rPr>
              <w:tab/>
            </w:r>
            <w:r>
              <w:rPr>
                <w:sz w:val="20"/>
              </w:rPr>
              <w:t>if the serving cell is configured with a SUL carrier, the cell DTX/DRX indicator field indication for activation or deactivation of cell DRX applies to both the UL carrier and the SUL carrier</w:t>
            </w:r>
          </w:p>
          <w:p>
            <w:r>
              <w:t>A UE does not expect to monitor PDCCH for detection of DCI format 2_9 on more than one serving cells.</w:t>
            </w:r>
          </w:p>
          <w:p>
            <w:pPr>
              <w:jc w:val="center"/>
              <w:rPr>
                <w:rFonts w:ascii="Arial" w:hAnsi="Arial" w:cs="Arial"/>
                <w:sz w:val="24"/>
              </w:rPr>
            </w:pPr>
            <w:r>
              <w:rPr>
                <w:rFonts w:ascii="Arial" w:hAnsi="Arial" w:cs="Arial"/>
                <w:color w:val="FF0000"/>
                <w:sz w:val="24"/>
              </w:rPr>
              <w:t>&lt; Unchanged parts are omitted &gt;</w:t>
            </w:r>
          </w:p>
          <w:p>
            <w:pPr>
              <w:jc w:val="both"/>
              <w:rPr>
                <w:szCs w:val="20"/>
              </w:rPr>
            </w:pPr>
            <w:r>
              <w:rPr>
                <w:szCs w:val="20"/>
              </w:rPr>
              <w:t>-------------------------------------------------------End of Text proposal --------------------------------------------------</w:t>
            </w:r>
          </w:p>
          <w:p>
            <w:pPr>
              <w:jc w:val="both"/>
              <w:rPr>
                <w:szCs w:val="20"/>
              </w:rPr>
            </w:pPr>
          </w:p>
        </w:tc>
      </w:tr>
    </w:tbl>
    <w:p>
      <w:pPr>
        <w:jc w:val="both"/>
        <w:rPr>
          <w:rFonts w:hint="default" w:ascii="Times New Roman Bold" w:hAnsi="Times New Roman Bold" w:cs="Times New Roman Bold"/>
          <w:b/>
          <w:bCs/>
          <w:szCs w:val="20"/>
          <w:lang w:val="en-US"/>
        </w:rPr>
      </w:pPr>
    </w:p>
    <w:p>
      <w:pPr>
        <w:jc w:val="both"/>
        <w:rPr>
          <w:rFonts w:hint="default" w:ascii="Times New Roman Bold" w:hAnsi="Times New Roman Bold" w:cs="Times New Roman Bold"/>
          <w:b/>
          <w:bCs/>
          <w:szCs w:val="20"/>
          <w:lang w:val="en-US"/>
        </w:rPr>
      </w:pPr>
    </w:p>
    <w:p>
      <w:pPr>
        <w:jc w:val="both"/>
        <w:rPr>
          <w:rFonts w:hint="default" w:ascii="Times New Roman Bold" w:hAnsi="Times New Roman Bold" w:cs="Times New Roman Bold"/>
          <w:b/>
          <w:bCs/>
          <w:szCs w:val="20"/>
          <w:lang w:val="en-US"/>
        </w:rPr>
      </w:pPr>
    </w:p>
    <w:p>
      <w:pPr>
        <w:rPr>
          <w:rFonts w:ascii="Times New Roman Bold" w:hAnsi="Times New Roman Bold" w:cs="Times New Roman Bold"/>
          <w:b/>
          <w:bCs/>
        </w:rPr>
      </w:pPr>
      <w:r>
        <w:rPr>
          <w:rFonts w:ascii="Times New Roman Bold" w:hAnsi="Times New Roman Bold" w:cs="Times New Roman Bold"/>
          <w:b/>
          <w:bCs/>
        </w:rPr>
        <w:t>Proposal 4: Adopt the following change to the RRC parameter list to support CHO enhancement.</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0"/>
        <w:gridCol w:w="2596"/>
        <w:gridCol w:w="5900"/>
      </w:tblGrid>
      <w:tr>
        <w:tc>
          <w:tcPr>
            <w:tcW w:w="740" w:type="dxa"/>
          </w:tcPr>
          <w:p>
            <w:r>
              <w:t>Row</w:t>
            </w:r>
          </w:p>
        </w:tc>
        <w:tc>
          <w:tcPr>
            <w:tcW w:w="2596" w:type="dxa"/>
          </w:tcPr>
          <w:p>
            <w:r>
              <w:t>Parameter name in the spec</w:t>
            </w:r>
          </w:p>
        </w:tc>
        <w:tc>
          <w:tcPr>
            <w:tcW w:w="5900" w:type="dxa"/>
          </w:tcPr>
          <w:p>
            <w:r>
              <w:t>Description</w:t>
            </w:r>
          </w:p>
        </w:tc>
      </w:tr>
      <w:tr>
        <w:tc>
          <w:tcPr>
            <w:tcW w:w="740" w:type="dxa"/>
          </w:tcPr>
          <w:p>
            <w:r>
              <w:t>11</w:t>
            </w:r>
          </w:p>
        </w:tc>
        <w:tc>
          <w:tcPr>
            <w:tcW w:w="2596" w:type="dxa"/>
          </w:tcPr>
          <w:p>
            <w:r>
              <w:t>cell</w:t>
            </w:r>
            <w:r>
              <w:rPr>
                <w:color w:val="FF0000"/>
              </w:rPr>
              <w:t>ES</w:t>
            </w:r>
            <w:r>
              <w:rPr>
                <w:strike/>
                <w:color w:val="FF0000"/>
              </w:rPr>
              <w:t>DTRX</w:t>
            </w:r>
            <w:r>
              <w:t>-DCI-config</w:t>
            </w:r>
          </w:p>
        </w:tc>
        <w:tc>
          <w:tcPr>
            <w:tcW w:w="5900" w:type="dxa"/>
          </w:tcPr>
          <w:p>
            <w:r>
              <w:t>Include the configuration for new DCI format 2_9 for activation/deactivation of cell DTX/DRX configuration of one or multiple serving cells</w:t>
            </w:r>
            <w:r>
              <w:rPr>
                <w:color w:val="FF0000"/>
              </w:rPr>
              <w:t>, or notifying the serving cell is entering NES mode to trigger CHO enhancement of NES</w:t>
            </w:r>
            <w:r>
              <w:t>.</w:t>
            </w:r>
          </w:p>
        </w:tc>
      </w:tr>
      <w:tr>
        <w:tc>
          <w:tcPr>
            <w:tcW w:w="740" w:type="dxa"/>
          </w:tcPr>
          <w:p>
            <w:r>
              <w:t>13</w:t>
            </w:r>
          </w:p>
        </w:tc>
        <w:tc>
          <w:tcPr>
            <w:tcW w:w="2596" w:type="dxa"/>
          </w:tcPr>
          <w:p>
            <w:r>
              <w:t>cell</w:t>
            </w:r>
            <w:r>
              <w:rPr>
                <w:color w:val="FF0000"/>
              </w:rPr>
              <w:t>ES</w:t>
            </w:r>
            <w:r>
              <w:rPr>
                <w:strike/>
                <w:color w:val="FF0000"/>
              </w:rPr>
              <w:t>DTRX</w:t>
            </w:r>
            <w:r>
              <w:t xml:space="preserve">-RNTI </w:t>
            </w:r>
          </w:p>
        </w:tc>
        <w:tc>
          <w:tcPr>
            <w:tcW w:w="5900" w:type="dxa"/>
          </w:tcPr>
          <w:p>
            <w:r>
              <w:t>Configure the RNTI value for scrambling CRC of DCI format 2_9 for activating and/or deactivating Cell DTX/DRX</w:t>
            </w:r>
            <w:r>
              <w:rPr>
                <w:color w:val="FF0000"/>
              </w:rPr>
              <w:t>, or notifying the serving cell is entering NES mode to trigger CHO enhancement of NES</w:t>
            </w:r>
            <w:r>
              <w:t xml:space="preserve"> .</w:t>
            </w:r>
          </w:p>
        </w:tc>
      </w:tr>
    </w:tbl>
    <w:p>
      <w:pPr>
        <w:jc w:val="both"/>
        <w:rPr>
          <w:b/>
          <w:bCs/>
          <w:szCs w:val="20"/>
        </w:rPr>
      </w:pPr>
    </w:p>
    <w:p>
      <w:pPr>
        <w:rPr>
          <w:rFonts w:ascii="Times New Roman Bold" w:hAnsi="Times New Roman Bold" w:cs="Times New Roman Bold"/>
          <w:b/>
          <w:bCs/>
        </w:rPr>
      </w:pPr>
      <w:r>
        <w:rPr>
          <w:rFonts w:ascii="Times New Roman Bold" w:hAnsi="Times New Roman Bold" w:cs="Times New Roman Bold"/>
          <w:b/>
          <w:bCs/>
        </w:rPr>
        <w:t xml:space="preserve">Proposal 5: Add the following Row in RRC parameter list to support CHO enhancement.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4"/>
        <w:gridCol w:w="1753"/>
        <w:gridCol w:w="4279"/>
        <w:gridCol w:w="1324"/>
        <w:gridCol w:w="1286"/>
      </w:tblGrid>
      <w:tr>
        <w:tc>
          <w:tcPr>
            <w:tcW w:w="594" w:type="dxa"/>
          </w:tcPr>
          <w:p>
            <w:r>
              <w:t>Row</w:t>
            </w:r>
          </w:p>
        </w:tc>
        <w:tc>
          <w:tcPr>
            <w:tcW w:w="1753" w:type="dxa"/>
          </w:tcPr>
          <w:p>
            <w:r>
              <w:t>Parameter name in the spec</w:t>
            </w:r>
          </w:p>
        </w:tc>
        <w:tc>
          <w:tcPr>
            <w:tcW w:w="4279" w:type="dxa"/>
          </w:tcPr>
          <w:p>
            <w:r>
              <w:t>Description</w:t>
            </w:r>
          </w:p>
        </w:tc>
        <w:tc>
          <w:tcPr>
            <w:tcW w:w="1324" w:type="dxa"/>
          </w:tcPr>
          <w:p/>
        </w:tc>
        <w:tc>
          <w:tcPr>
            <w:tcW w:w="1286" w:type="dxa"/>
          </w:tcPr>
          <w:p/>
        </w:tc>
      </w:tr>
      <w:tr>
        <w:tc>
          <w:tcPr>
            <w:tcW w:w="594" w:type="dxa"/>
          </w:tcPr>
          <w:p>
            <w:r>
              <w:t>19</w:t>
            </w:r>
          </w:p>
        </w:tc>
        <w:tc>
          <w:tcPr>
            <w:tcW w:w="1753" w:type="dxa"/>
          </w:tcPr>
          <w:p>
            <w:r>
              <w:t>positionInDCI-CHO</w:t>
            </w:r>
          </w:p>
        </w:tc>
        <w:tc>
          <w:tcPr>
            <w:tcW w:w="4279" w:type="dxa"/>
          </w:tcPr>
          <w:p>
            <w:r>
              <w:t>Configure the starting bit position of an information block corresponding to CHO indication for the serving cell of DCI format 2_9</w:t>
            </w:r>
          </w:p>
        </w:tc>
        <w:tc>
          <w:tcPr>
            <w:tcW w:w="1324" w:type="dxa"/>
          </w:tcPr>
          <w:p>
            <w:pPr>
              <w:jc w:val="both"/>
            </w:pPr>
            <w:r>
              <w:t>0..[sizeDCI-2-9]-1</w:t>
            </w:r>
          </w:p>
        </w:tc>
        <w:tc>
          <w:tcPr>
            <w:tcW w:w="1286" w:type="dxa"/>
          </w:tcPr>
          <w:p>
            <w:pPr>
              <w:jc w:val="both"/>
            </w:pPr>
            <w:r>
              <w:t>Per serving cell</w:t>
            </w:r>
          </w:p>
        </w:tc>
      </w:tr>
    </w:tbl>
    <w:p>
      <w:pPr>
        <w:jc w:val="both"/>
        <w:rPr>
          <w:b/>
          <w:bCs/>
          <w:szCs w:val="20"/>
        </w:rPr>
      </w:pPr>
    </w:p>
    <w:p>
      <w:pPr>
        <w:pStyle w:val="2"/>
      </w:pPr>
      <w:r>
        <w:t xml:space="preserve"> Reference</w:t>
      </w:r>
    </w:p>
    <w:p>
      <w:pPr>
        <w:numPr>
          <w:ilvl w:val="0"/>
          <w:numId w:val="3"/>
        </w:numPr>
        <w:tabs>
          <w:tab w:val="clear" w:pos="657"/>
        </w:tabs>
        <w:overflowPunct w:val="0"/>
        <w:autoSpaceDE w:val="0"/>
        <w:autoSpaceDN w:val="0"/>
        <w:adjustRightInd w:val="0"/>
        <w:spacing w:before="100" w:beforeAutospacing="1" w:after="100" w:afterAutospacing="1"/>
        <w:ind w:left="562" w:hanging="562"/>
        <w:textAlignment w:val="baseline"/>
        <w:rPr>
          <w:szCs w:val="20"/>
        </w:rPr>
      </w:pPr>
      <w:r>
        <w:rPr>
          <w:szCs w:val="20"/>
        </w:rPr>
        <w:t>R1-2311002, LS on NES CHO, RAN2, Apple, 3GPP TSG RAN WG1 #115,  Chicago, USA, November 13</w:t>
      </w:r>
      <w:r>
        <w:rPr>
          <w:szCs w:val="20"/>
          <w:vertAlign w:val="superscript"/>
        </w:rPr>
        <w:t>th</w:t>
      </w:r>
      <w:r>
        <w:rPr>
          <w:szCs w:val="20"/>
        </w:rPr>
        <w:t xml:space="preserve"> – November 17</w:t>
      </w:r>
      <w:r>
        <w:rPr>
          <w:szCs w:val="20"/>
          <w:vertAlign w:val="superscript"/>
        </w:rPr>
        <w:t>th</w:t>
      </w:r>
      <w:r>
        <w:rPr>
          <w:szCs w:val="20"/>
        </w:rPr>
        <w:t>, 2023.</w:t>
      </w:r>
    </w:p>
    <w:p>
      <w:pPr>
        <w:numPr>
          <w:ilvl w:val="0"/>
          <w:numId w:val="3"/>
        </w:numPr>
        <w:tabs>
          <w:tab w:val="clear" w:pos="657"/>
        </w:tabs>
        <w:overflowPunct w:val="0"/>
        <w:autoSpaceDE w:val="0"/>
        <w:autoSpaceDN w:val="0"/>
        <w:adjustRightInd w:val="0"/>
        <w:spacing w:before="100" w:beforeAutospacing="1" w:after="100" w:afterAutospacing="1"/>
        <w:ind w:left="562" w:hanging="562"/>
        <w:textAlignment w:val="baseline"/>
        <w:rPr>
          <w:szCs w:val="20"/>
        </w:rPr>
      </w:pPr>
      <w:r>
        <w:rPr>
          <w:szCs w:val="20"/>
        </w:rPr>
        <w:t>R1-2310695, Collection of updated higher layers parameter list for Rel-18, Moderator (Ericsson), Xiamen, China, Oct 9</w:t>
      </w:r>
      <w:r>
        <w:rPr>
          <w:szCs w:val="20"/>
          <w:vertAlign w:val="superscript"/>
        </w:rPr>
        <w:t>th</w:t>
      </w:r>
      <w:r>
        <w:rPr>
          <w:szCs w:val="20"/>
        </w:rPr>
        <w:t xml:space="preserve"> - Oct 13</w:t>
      </w:r>
      <w:r>
        <w:rPr>
          <w:szCs w:val="20"/>
          <w:vertAlign w:val="superscript"/>
        </w:rPr>
        <w:t>th</w:t>
      </w:r>
      <w:r>
        <w:rPr>
          <w:szCs w:val="20"/>
        </w:rPr>
        <w:t>, 2023.</w:t>
      </w:r>
    </w:p>
    <w:sectPr>
      <w:pgSz w:w="11900" w:h="16840"/>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Malgun Gothic">
    <w:altName w:val="Apple SD Gothic Neo"/>
    <w:panose1 w:val="020B0503020000020004"/>
    <w:charset w:val="81"/>
    <w:family w:val="swiss"/>
    <w:pitch w:val="default"/>
    <w:sig w:usb0="00000000" w:usb1="00000000" w:usb2="00000012" w:usb3="00000000" w:csb0="00080001" w:csb1="00000000"/>
  </w:font>
  <w:font w:name="Times">
    <w:altName w:val="Times New Roman"/>
    <w:panose1 w:val="020B0604020202020204"/>
    <w:charset w:val="00"/>
    <w:family w:val="auto"/>
    <w:pitch w:val="default"/>
    <w:sig w:usb0="00000000" w:usb1="00000000" w:usb2="00000000"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KaiTi_GB2312">
    <w:altName w:val="苹方-简"/>
    <w:panose1 w:val="020B0604020202020204"/>
    <w:charset w:val="86"/>
    <w:family w:val="modern"/>
    <w:pitch w:val="default"/>
    <w:sig w:usb0="00000000" w:usb1="00000000" w:usb2="00000010" w:usb3="00000000" w:csb0="00040000" w:csb1="00000000"/>
  </w:font>
  <w:font w:name="Symbol">
    <w:altName w:val="Kingsoft Sign"/>
    <w:panose1 w:val="05050102010706020507"/>
    <w:charset w:val="02"/>
    <w:family w:val="decorative"/>
    <w:pitch w:val="default"/>
    <w:sig w:usb0="00000000" w:usb1="00000000" w:usb2="00000000" w:usb3="00000000" w:csb0="80000001" w:csb1="00000000"/>
  </w:font>
  <w:font w:name="等线">
    <w:altName w:val="汉仪中等线KW"/>
    <w:panose1 w:val="00000000000000000000"/>
    <w:charset w:val="00"/>
    <w:family w:val="auto"/>
    <w:pitch w:val="default"/>
    <w:sig w:usb0="00000000" w:usb1="00000000" w:usb2="00000000" w:usb3="00000000" w:csb0="00000000" w:csb1="00000000"/>
  </w:font>
  <w:font w:name="Lucida Grande">
    <w:panose1 w:val="020B0600040502020204"/>
    <w:charset w:val="00"/>
    <w:family w:val="swiss"/>
    <w:pitch w:val="default"/>
    <w:sig w:usb0="E1000AEF" w:usb1="5000A1FF" w:usb2="00000000" w:usb3="00000000" w:csb0="200001BF" w:csb1="4F010000"/>
  </w:font>
  <w:font w:name="MS Mincho">
    <w:altName w:val="Hiragino Sans"/>
    <w:panose1 w:val="02020609040205080304"/>
    <w:charset w:val="80"/>
    <w:family w:val="modern"/>
    <w:pitch w:val="default"/>
    <w:sig w:usb0="00000000" w:usb1="00000000" w:usb2="08000012" w:usb3="00000000" w:csb0="0002009F" w:csb1="00000000"/>
  </w:font>
  <w:font w:name="Times New Roman Bold">
    <w:panose1 w:val="02020603050405020304"/>
    <w:charset w:val="00"/>
    <w:family w:val="auto"/>
    <w:pitch w:val="default"/>
    <w:sig w:usb0="E0002AEF" w:usb1="C0007841"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Times New Roman Bold Italic">
    <w:panose1 w:val="02020603050405020304"/>
    <w:charset w:val="00"/>
    <w:family w:val="auto"/>
    <w:pitch w:val="default"/>
    <w:sig w:usb0="E0002AEF" w:usb1="C0007841" w:usb2="00000009" w:usb3="00000000" w:csb0="400001FF" w:csb1="FFFF0000"/>
  </w:font>
  <w:font w:name="Times New Roman Regular">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 w:name="苹方-简">
    <w:panose1 w:val="020B0400000000000000"/>
    <w:charset w:val="86"/>
    <w:family w:val="auto"/>
    <w:pitch w:val="default"/>
    <w:sig w:usb0="A00002FF" w:usb1="7ACFFDFB" w:usb2="00000017" w:usb3="00000000" w:csb0="00040001" w:csb1="00000000"/>
  </w:font>
  <w:font w:name="Kingsoft Sign">
    <w:panose1 w:val="05050102010706020507"/>
    <w:charset w:val="00"/>
    <w:family w:val="auto"/>
    <w:pitch w:val="default"/>
    <w:sig w:usb0="00000000" w:usb1="10000000" w:usb2="00000000" w:usb3="00000000" w:csb0="00000001"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 w:name="Helvetica">
    <w:panose1 w:val="00000000000000000000"/>
    <w:charset w:val="00"/>
    <w:family w:val="auto"/>
    <w:pitch w:val="default"/>
    <w:sig w:usb0="E00002FF" w:usb1="5000785B" w:usb2="00000000" w:usb3="00000000" w:csb0="2000019F" w:csb1="4F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lang w:val="en-U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pStyle w:val="4"/>
      <w:lvlText w:val="%1.%2.%3"/>
      <w:lvlJc w:val="left"/>
      <w:pPr>
        <w:tabs>
          <w:tab w:val="left" w:pos="720"/>
        </w:tabs>
        <w:ind w:left="720" w:hanging="720"/>
      </w:pPr>
      <w:rPr>
        <w:rFonts w:hint="default"/>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6ACA1AA6"/>
    <w:multiLevelType w:val="multilevel"/>
    <w:tmpl w:val="6ACA1AA6"/>
    <w:lvl w:ilvl="0" w:tentative="0">
      <w:start w:val="1"/>
      <w:numFmt w:val="bullet"/>
      <w:pStyle w:val="45"/>
      <w:lvlText w:val=""/>
      <w:lvlJc w:val="left"/>
      <w:pPr>
        <w:ind w:left="440" w:hanging="440"/>
      </w:pPr>
      <w:rPr>
        <w:rFonts w:hint="default" w:ascii="Symbol" w:hAnsi="Symbol"/>
      </w:rPr>
    </w:lvl>
    <w:lvl w:ilvl="1" w:tentative="0">
      <w:start w:val="1"/>
      <w:numFmt w:val="bullet"/>
      <w:lvlText w:val=""/>
      <w:lvlJc w:val="left"/>
      <w:pPr>
        <w:ind w:left="440" w:hanging="440"/>
      </w:pPr>
      <w:rPr>
        <w:rFonts w:hint="default" w:ascii="Symbol" w:hAnsi="Symbol"/>
      </w:rPr>
    </w:lvl>
    <w:lvl w:ilvl="2" w:tentative="0">
      <w:start w:val="1"/>
      <w:numFmt w:val="bullet"/>
      <w:lvlText w:val=""/>
      <w:lvlJc w:val="left"/>
      <w:pPr>
        <w:ind w:left="900" w:hanging="440"/>
      </w:pPr>
      <w:rPr>
        <w:rFonts w:hint="default" w:ascii="Wingdings" w:hAnsi="Wingdings"/>
      </w:rPr>
    </w:lvl>
    <w:lvl w:ilvl="3" w:tentative="0">
      <w:start w:val="1"/>
      <w:numFmt w:val="bullet"/>
      <w:lvlText w:val=""/>
      <w:lvlJc w:val="left"/>
      <w:pPr>
        <w:ind w:left="1340" w:hanging="440"/>
      </w:pPr>
      <w:rPr>
        <w:rFonts w:hint="default" w:ascii="Wingdings" w:hAnsi="Wingdings"/>
      </w:rPr>
    </w:lvl>
    <w:lvl w:ilvl="4" w:tentative="0">
      <w:start w:val="1"/>
      <w:numFmt w:val="bullet"/>
      <w:lvlText w:val=""/>
      <w:lvlJc w:val="left"/>
      <w:pPr>
        <w:ind w:left="1780" w:hanging="440"/>
      </w:pPr>
      <w:rPr>
        <w:rFonts w:hint="default" w:ascii="Wingdings" w:hAnsi="Wingdings"/>
      </w:rPr>
    </w:lvl>
    <w:lvl w:ilvl="5" w:tentative="0">
      <w:start w:val="1"/>
      <w:numFmt w:val="bullet"/>
      <w:lvlText w:val=""/>
      <w:lvlJc w:val="left"/>
      <w:pPr>
        <w:ind w:left="2220" w:hanging="440"/>
      </w:pPr>
      <w:rPr>
        <w:rFonts w:hint="default" w:ascii="Wingdings" w:hAnsi="Wingdings"/>
      </w:rPr>
    </w:lvl>
    <w:lvl w:ilvl="6" w:tentative="0">
      <w:start w:val="1"/>
      <w:numFmt w:val="bullet"/>
      <w:lvlText w:val=""/>
      <w:lvlJc w:val="left"/>
      <w:pPr>
        <w:ind w:left="2660" w:hanging="440"/>
      </w:pPr>
      <w:rPr>
        <w:rFonts w:hint="default" w:ascii="Wingdings" w:hAnsi="Wingdings"/>
      </w:rPr>
    </w:lvl>
    <w:lvl w:ilvl="7" w:tentative="0">
      <w:start w:val="1"/>
      <w:numFmt w:val="bullet"/>
      <w:lvlText w:val=""/>
      <w:lvlJc w:val="left"/>
      <w:pPr>
        <w:ind w:left="3100" w:hanging="440"/>
      </w:pPr>
      <w:rPr>
        <w:rFonts w:hint="default" w:ascii="Wingdings" w:hAnsi="Wingdings"/>
      </w:rPr>
    </w:lvl>
    <w:lvl w:ilvl="8" w:tentative="0">
      <w:start w:val="1"/>
      <w:numFmt w:val="bullet"/>
      <w:lvlText w:val=""/>
      <w:lvlJc w:val="left"/>
      <w:pPr>
        <w:ind w:left="3540" w:hanging="44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3"/>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EB7"/>
    <w:rsid w:val="000007F0"/>
    <w:rsid w:val="000014BF"/>
    <w:rsid w:val="00003B22"/>
    <w:rsid w:val="00005D7F"/>
    <w:rsid w:val="00007041"/>
    <w:rsid w:val="000119F5"/>
    <w:rsid w:val="00015C8C"/>
    <w:rsid w:val="00016535"/>
    <w:rsid w:val="000212EC"/>
    <w:rsid w:val="00022E38"/>
    <w:rsid w:val="00023868"/>
    <w:rsid w:val="00024452"/>
    <w:rsid w:val="00024721"/>
    <w:rsid w:val="00024CD4"/>
    <w:rsid w:val="00025E73"/>
    <w:rsid w:val="00025F8E"/>
    <w:rsid w:val="00026645"/>
    <w:rsid w:val="0003027F"/>
    <w:rsid w:val="00031E68"/>
    <w:rsid w:val="00032067"/>
    <w:rsid w:val="00032FD3"/>
    <w:rsid w:val="00033580"/>
    <w:rsid w:val="00033D5B"/>
    <w:rsid w:val="0003575E"/>
    <w:rsid w:val="00035CF3"/>
    <w:rsid w:val="00036F66"/>
    <w:rsid w:val="00040DE2"/>
    <w:rsid w:val="00041988"/>
    <w:rsid w:val="00041A1A"/>
    <w:rsid w:val="00044CC2"/>
    <w:rsid w:val="00044EAE"/>
    <w:rsid w:val="00045050"/>
    <w:rsid w:val="00046268"/>
    <w:rsid w:val="000507B7"/>
    <w:rsid w:val="00051306"/>
    <w:rsid w:val="00052EC1"/>
    <w:rsid w:val="00053C6E"/>
    <w:rsid w:val="00054642"/>
    <w:rsid w:val="000549ED"/>
    <w:rsid w:val="00054A83"/>
    <w:rsid w:val="0005612B"/>
    <w:rsid w:val="00056BAA"/>
    <w:rsid w:val="00057AB0"/>
    <w:rsid w:val="000605BB"/>
    <w:rsid w:val="000606C7"/>
    <w:rsid w:val="00061C12"/>
    <w:rsid w:val="00062BBD"/>
    <w:rsid w:val="00062BC5"/>
    <w:rsid w:val="00065688"/>
    <w:rsid w:val="00065D76"/>
    <w:rsid w:val="000664A1"/>
    <w:rsid w:val="000678A2"/>
    <w:rsid w:val="00073136"/>
    <w:rsid w:val="00076345"/>
    <w:rsid w:val="00076694"/>
    <w:rsid w:val="00077166"/>
    <w:rsid w:val="000775E2"/>
    <w:rsid w:val="00077DB2"/>
    <w:rsid w:val="00082C24"/>
    <w:rsid w:val="00084EE1"/>
    <w:rsid w:val="000853BB"/>
    <w:rsid w:val="000862B8"/>
    <w:rsid w:val="00087770"/>
    <w:rsid w:val="000908D3"/>
    <w:rsid w:val="0009177D"/>
    <w:rsid w:val="000966B3"/>
    <w:rsid w:val="00096DEA"/>
    <w:rsid w:val="000A1890"/>
    <w:rsid w:val="000A2AAA"/>
    <w:rsid w:val="000A4F20"/>
    <w:rsid w:val="000A5510"/>
    <w:rsid w:val="000B0BD2"/>
    <w:rsid w:val="000B0FBC"/>
    <w:rsid w:val="000B171B"/>
    <w:rsid w:val="000B1D4E"/>
    <w:rsid w:val="000B39FE"/>
    <w:rsid w:val="000B3D62"/>
    <w:rsid w:val="000B4EF8"/>
    <w:rsid w:val="000B5056"/>
    <w:rsid w:val="000B5B6A"/>
    <w:rsid w:val="000C20DC"/>
    <w:rsid w:val="000C364C"/>
    <w:rsid w:val="000C3D00"/>
    <w:rsid w:val="000C62A2"/>
    <w:rsid w:val="000C67D9"/>
    <w:rsid w:val="000D12FC"/>
    <w:rsid w:val="000D1A8F"/>
    <w:rsid w:val="000D250D"/>
    <w:rsid w:val="000D346B"/>
    <w:rsid w:val="000D4B3E"/>
    <w:rsid w:val="000D5CCD"/>
    <w:rsid w:val="000D6665"/>
    <w:rsid w:val="000D726E"/>
    <w:rsid w:val="000E0D82"/>
    <w:rsid w:val="000E1755"/>
    <w:rsid w:val="000E2D24"/>
    <w:rsid w:val="000E454B"/>
    <w:rsid w:val="000E4E93"/>
    <w:rsid w:val="000E6D0D"/>
    <w:rsid w:val="000F2C70"/>
    <w:rsid w:val="000F4309"/>
    <w:rsid w:val="000F50F7"/>
    <w:rsid w:val="000F6ABF"/>
    <w:rsid w:val="001003EC"/>
    <w:rsid w:val="00100E42"/>
    <w:rsid w:val="001011FB"/>
    <w:rsid w:val="00101636"/>
    <w:rsid w:val="001018CA"/>
    <w:rsid w:val="00101DDF"/>
    <w:rsid w:val="00102479"/>
    <w:rsid w:val="00104EEB"/>
    <w:rsid w:val="00105395"/>
    <w:rsid w:val="0010771B"/>
    <w:rsid w:val="00107D1C"/>
    <w:rsid w:val="00111373"/>
    <w:rsid w:val="00112818"/>
    <w:rsid w:val="00113AD9"/>
    <w:rsid w:val="00113E71"/>
    <w:rsid w:val="001144DC"/>
    <w:rsid w:val="00114BDE"/>
    <w:rsid w:val="00114DBF"/>
    <w:rsid w:val="001169A5"/>
    <w:rsid w:val="001169AF"/>
    <w:rsid w:val="00117BAC"/>
    <w:rsid w:val="00120FCF"/>
    <w:rsid w:val="00121823"/>
    <w:rsid w:val="00122021"/>
    <w:rsid w:val="00123090"/>
    <w:rsid w:val="001235A7"/>
    <w:rsid w:val="00124F25"/>
    <w:rsid w:val="00126C56"/>
    <w:rsid w:val="00126FC9"/>
    <w:rsid w:val="00127219"/>
    <w:rsid w:val="00131CC4"/>
    <w:rsid w:val="00132DC3"/>
    <w:rsid w:val="00133713"/>
    <w:rsid w:val="001346FC"/>
    <w:rsid w:val="00134F50"/>
    <w:rsid w:val="0013510C"/>
    <w:rsid w:val="001364C9"/>
    <w:rsid w:val="00136915"/>
    <w:rsid w:val="00136DC0"/>
    <w:rsid w:val="00140849"/>
    <w:rsid w:val="00141A14"/>
    <w:rsid w:val="001424EB"/>
    <w:rsid w:val="00142F0A"/>
    <w:rsid w:val="001454B7"/>
    <w:rsid w:val="00145FB8"/>
    <w:rsid w:val="00150EC2"/>
    <w:rsid w:val="0015343A"/>
    <w:rsid w:val="00153773"/>
    <w:rsid w:val="00154FF8"/>
    <w:rsid w:val="00155784"/>
    <w:rsid w:val="0015786E"/>
    <w:rsid w:val="00161CAD"/>
    <w:rsid w:val="00164D0E"/>
    <w:rsid w:val="00166F73"/>
    <w:rsid w:val="00167D9B"/>
    <w:rsid w:val="00170E5B"/>
    <w:rsid w:val="00171395"/>
    <w:rsid w:val="00172226"/>
    <w:rsid w:val="00172BB7"/>
    <w:rsid w:val="0017693C"/>
    <w:rsid w:val="001779C8"/>
    <w:rsid w:val="00180847"/>
    <w:rsid w:val="00180A2C"/>
    <w:rsid w:val="001825D9"/>
    <w:rsid w:val="001825FA"/>
    <w:rsid w:val="00182C97"/>
    <w:rsid w:val="00183C8E"/>
    <w:rsid w:val="00183EA6"/>
    <w:rsid w:val="00183F0C"/>
    <w:rsid w:val="001849A2"/>
    <w:rsid w:val="00184C88"/>
    <w:rsid w:val="0018607A"/>
    <w:rsid w:val="00191E52"/>
    <w:rsid w:val="00194352"/>
    <w:rsid w:val="00194BBD"/>
    <w:rsid w:val="0019518E"/>
    <w:rsid w:val="00195AB1"/>
    <w:rsid w:val="00196542"/>
    <w:rsid w:val="0019676A"/>
    <w:rsid w:val="0019789C"/>
    <w:rsid w:val="001979C6"/>
    <w:rsid w:val="001A0A1C"/>
    <w:rsid w:val="001A13AE"/>
    <w:rsid w:val="001A5D07"/>
    <w:rsid w:val="001A64D3"/>
    <w:rsid w:val="001A6665"/>
    <w:rsid w:val="001B0B1E"/>
    <w:rsid w:val="001B2AEE"/>
    <w:rsid w:val="001B590D"/>
    <w:rsid w:val="001B6534"/>
    <w:rsid w:val="001B6620"/>
    <w:rsid w:val="001B73D5"/>
    <w:rsid w:val="001C1058"/>
    <w:rsid w:val="001C164B"/>
    <w:rsid w:val="001C1CFE"/>
    <w:rsid w:val="001C3C97"/>
    <w:rsid w:val="001C453B"/>
    <w:rsid w:val="001C50ED"/>
    <w:rsid w:val="001C52C8"/>
    <w:rsid w:val="001C5837"/>
    <w:rsid w:val="001D18C4"/>
    <w:rsid w:val="001D4853"/>
    <w:rsid w:val="001D5CE5"/>
    <w:rsid w:val="001D7136"/>
    <w:rsid w:val="001D7391"/>
    <w:rsid w:val="001D749D"/>
    <w:rsid w:val="001D7DD6"/>
    <w:rsid w:val="001E0EF1"/>
    <w:rsid w:val="001E21BF"/>
    <w:rsid w:val="001E305D"/>
    <w:rsid w:val="001E6606"/>
    <w:rsid w:val="001F2E81"/>
    <w:rsid w:val="001F3C78"/>
    <w:rsid w:val="001F6456"/>
    <w:rsid w:val="002019FC"/>
    <w:rsid w:val="00201B91"/>
    <w:rsid w:val="00201BFB"/>
    <w:rsid w:val="002052AB"/>
    <w:rsid w:val="00205DCA"/>
    <w:rsid w:val="00206F0D"/>
    <w:rsid w:val="00206F62"/>
    <w:rsid w:val="002116CD"/>
    <w:rsid w:val="002127F6"/>
    <w:rsid w:val="002134C9"/>
    <w:rsid w:val="00214A86"/>
    <w:rsid w:val="002153A2"/>
    <w:rsid w:val="00215747"/>
    <w:rsid w:val="00215907"/>
    <w:rsid w:val="00220B56"/>
    <w:rsid w:val="00220D66"/>
    <w:rsid w:val="00221741"/>
    <w:rsid w:val="00221FFC"/>
    <w:rsid w:val="00222276"/>
    <w:rsid w:val="002317A9"/>
    <w:rsid w:val="00233A5D"/>
    <w:rsid w:val="00233E3F"/>
    <w:rsid w:val="0023532F"/>
    <w:rsid w:val="00235D8F"/>
    <w:rsid w:val="0024304C"/>
    <w:rsid w:val="00250179"/>
    <w:rsid w:val="0025179D"/>
    <w:rsid w:val="00252B41"/>
    <w:rsid w:val="00252C11"/>
    <w:rsid w:val="002562FA"/>
    <w:rsid w:val="00257A5B"/>
    <w:rsid w:val="00257E0A"/>
    <w:rsid w:val="00257F58"/>
    <w:rsid w:val="00261928"/>
    <w:rsid w:val="00265AB0"/>
    <w:rsid w:val="00266E0F"/>
    <w:rsid w:val="00270EC8"/>
    <w:rsid w:val="00271C5A"/>
    <w:rsid w:val="002738F9"/>
    <w:rsid w:val="00274F27"/>
    <w:rsid w:val="00275AC9"/>
    <w:rsid w:val="00276E66"/>
    <w:rsid w:val="00284AB0"/>
    <w:rsid w:val="0028539C"/>
    <w:rsid w:val="00285B13"/>
    <w:rsid w:val="00287048"/>
    <w:rsid w:val="00290BA8"/>
    <w:rsid w:val="0029228D"/>
    <w:rsid w:val="00292936"/>
    <w:rsid w:val="002948FF"/>
    <w:rsid w:val="002961AE"/>
    <w:rsid w:val="002972B7"/>
    <w:rsid w:val="002A10F1"/>
    <w:rsid w:val="002A1A9E"/>
    <w:rsid w:val="002A1DDB"/>
    <w:rsid w:val="002A274D"/>
    <w:rsid w:val="002A2EAF"/>
    <w:rsid w:val="002A3617"/>
    <w:rsid w:val="002A3EE0"/>
    <w:rsid w:val="002A559F"/>
    <w:rsid w:val="002A5B21"/>
    <w:rsid w:val="002A7156"/>
    <w:rsid w:val="002A7D55"/>
    <w:rsid w:val="002B0E6E"/>
    <w:rsid w:val="002B162B"/>
    <w:rsid w:val="002B2343"/>
    <w:rsid w:val="002B517B"/>
    <w:rsid w:val="002B51AD"/>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20ED"/>
    <w:rsid w:val="002D3BD9"/>
    <w:rsid w:val="002D7C83"/>
    <w:rsid w:val="002E003F"/>
    <w:rsid w:val="002E6057"/>
    <w:rsid w:val="002E7927"/>
    <w:rsid w:val="002F0144"/>
    <w:rsid w:val="002F0B86"/>
    <w:rsid w:val="002F407E"/>
    <w:rsid w:val="002F42EE"/>
    <w:rsid w:val="002F4B0B"/>
    <w:rsid w:val="002F7DB3"/>
    <w:rsid w:val="00300D43"/>
    <w:rsid w:val="00302616"/>
    <w:rsid w:val="0030389E"/>
    <w:rsid w:val="00303942"/>
    <w:rsid w:val="00304247"/>
    <w:rsid w:val="003105DC"/>
    <w:rsid w:val="00313CE5"/>
    <w:rsid w:val="00314966"/>
    <w:rsid w:val="00314980"/>
    <w:rsid w:val="0031538C"/>
    <w:rsid w:val="00315C5F"/>
    <w:rsid w:val="00317A97"/>
    <w:rsid w:val="00320FF5"/>
    <w:rsid w:val="00322D6D"/>
    <w:rsid w:val="003255ED"/>
    <w:rsid w:val="0032703D"/>
    <w:rsid w:val="00327D92"/>
    <w:rsid w:val="00330871"/>
    <w:rsid w:val="003325F2"/>
    <w:rsid w:val="00335D81"/>
    <w:rsid w:val="003376F4"/>
    <w:rsid w:val="00337A40"/>
    <w:rsid w:val="003400A5"/>
    <w:rsid w:val="00340B06"/>
    <w:rsid w:val="0034266A"/>
    <w:rsid w:val="00342ED5"/>
    <w:rsid w:val="0034384E"/>
    <w:rsid w:val="00343B77"/>
    <w:rsid w:val="0034417B"/>
    <w:rsid w:val="00344198"/>
    <w:rsid w:val="0035130D"/>
    <w:rsid w:val="0035197B"/>
    <w:rsid w:val="00351A7C"/>
    <w:rsid w:val="00351B8B"/>
    <w:rsid w:val="0035494F"/>
    <w:rsid w:val="003555CA"/>
    <w:rsid w:val="00356A2B"/>
    <w:rsid w:val="00356B36"/>
    <w:rsid w:val="00357A21"/>
    <w:rsid w:val="00360564"/>
    <w:rsid w:val="00363402"/>
    <w:rsid w:val="003634FF"/>
    <w:rsid w:val="0036579A"/>
    <w:rsid w:val="00366F52"/>
    <w:rsid w:val="00370909"/>
    <w:rsid w:val="003715F4"/>
    <w:rsid w:val="00371BE8"/>
    <w:rsid w:val="00372217"/>
    <w:rsid w:val="00372FCA"/>
    <w:rsid w:val="00373D1C"/>
    <w:rsid w:val="00374BF7"/>
    <w:rsid w:val="00376CBE"/>
    <w:rsid w:val="00377855"/>
    <w:rsid w:val="00380033"/>
    <w:rsid w:val="00380442"/>
    <w:rsid w:val="00380980"/>
    <w:rsid w:val="00381063"/>
    <w:rsid w:val="00381F31"/>
    <w:rsid w:val="00382A85"/>
    <w:rsid w:val="00382E2B"/>
    <w:rsid w:val="0038307C"/>
    <w:rsid w:val="003831FB"/>
    <w:rsid w:val="0038363C"/>
    <w:rsid w:val="00383A52"/>
    <w:rsid w:val="00384D99"/>
    <w:rsid w:val="00386476"/>
    <w:rsid w:val="00387AB3"/>
    <w:rsid w:val="0039086D"/>
    <w:rsid w:val="00391B65"/>
    <w:rsid w:val="00391E20"/>
    <w:rsid w:val="00391FB9"/>
    <w:rsid w:val="00392503"/>
    <w:rsid w:val="00394BA2"/>
    <w:rsid w:val="00395759"/>
    <w:rsid w:val="003A1D4B"/>
    <w:rsid w:val="003A37A0"/>
    <w:rsid w:val="003A47F5"/>
    <w:rsid w:val="003A5125"/>
    <w:rsid w:val="003B062A"/>
    <w:rsid w:val="003B072E"/>
    <w:rsid w:val="003B1736"/>
    <w:rsid w:val="003B1F3B"/>
    <w:rsid w:val="003B2E0E"/>
    <w:rsid w:val="003B2E1C"/>
    <w:rsid w:val="003B3389"/>
    <w:rsid w:val="003B44DD"/>
    <w:rsid w:val="003C3FDF"/>
    <w:rsid w:val="003C4E3C"/>
    <w:rsid w:val="003C5441"/>
    <w:rsid w:val="003C5B14"/>
    <w:rsid w:val="003C6788"/>
    <w:rsid w:val="003D066D"/>
    <w:rsid w:val="003D3D1F"/>
    <w:rsid w:val="003D3FBA"/>
    <w:rsid w:val="003D64ED"/>
    <w:rsid w:val="003D6E56"/>
    <w:rsid w:val="003D7E3B"/>
    <w:rsid w:val="003E0A77"/>
    <w:rsid w:val="003E164B"/>
    <w:rsid w:val="003E3570"/>
    <w:rsid w:val="003E3631"/>
    <w:rsid w:val="003E394E"/>
    <w:rsid w:val="003E5DC3"/>
    <w:rsid w:val="003E75B6"/>
    <w:rsid w:val="003F027C"/>
    <w:rsid w:val="003F1C79"/>
    <w:rsid w:val="003F36E6"/>
    <w:rsid w:val="003F670D"/>
    <w:rsid w:val="003F6B93"/>
    <w:rsid w:val="003F7C65"/>
    <w:rsid w:val="00400CC3"/>
    <w:rsid w:val="004029ED"/>
    <w:rsid w:val="0040315C"/>
    <w:rsid w:val="004038C5"/>
    <w:rsid w:val="00403A18"/>
    <w:rsid w:val="00405277"/>
    <w:rsid w:val="00406FB8"/>
    <w:rsid w:val="0041178A"/>
    <w:rsid w:val="00412538"/>
    <w:rsid w:val="00412A3F"/>
    <w:rsid w:val="00416665"/>
    <w:rsid w:val="00417FC9"/>
    <w:rsid w:val="004211E9"/>
    <w:rsid w:val="0042146E"/>
    <w:rsid w:val="004219D8"/>
    <w:rsid w:val="00423711"/>
    <w:rsid w:val="00423E92"/>
    <w:rsid w:val="0042491A"/>
    <w:rsid w:val="00424DF4"/>
    <w:rsid w:val="00425166"/>
    <w:rsid w:val="00425D9D"/>
    <w:rsid w:val="0042626C"/>
    <w:rsid w:val="00426466"/>
    <w:rsid w:val="00427E33"/>
    <w:rsid w:val="00430AB1"/>
    <w:rsid w:val="00431CD3"/>
    <w:rsid w:val="0043338E"/>
    <w:rsid w:val="00435B4D"/>
    <w:rsid w:val="004379A6"/>
    <w:rsid w:val="004401E8"/>
    <w:rsid w:val="004419AF"/>
    <w:rsid w:val="004419D4"/>
    <w:rsid w:val="00442EBE"/>
    <w:rsid w:val="00443850"/>
    <w:rsid w:val="00443ECE"/>
    <w:rsid w:val="00446818"/>
    <w:rsid w:val="00446964"/>
    <w:rsid w:val="00450A01"/>
    <w:rsid w:val="004533BD"/>
    <w:rsid w:val="004537D9"/>
    <w:rsid w:val="00453FB9"/>
    <w:rsid w:val="004566B0"/>
    <w:rsid w:val="00456790"/>
    <w:rsid w:val="004573F6"/>
    <w:rsid w:val="004614C9"/>
    <w:rsid w:val="00461B15"/>
    <w:rsid w:val="00462395"/>
    <w:rsid w:val="00462B1E"/>
    <w:rsid w:val="00465DBF"/>
    <w:rsid w:val="00466C57"/>
    <w:rsid w:val="00470DC6"/>
    <w:rsid w:val="00471A63"/>
    <w:rsid w:val="00472AA0"/>
    <w:rsid w:val="0047580C"/>
    <w:rsid w:val="00475C2B"/>
    <w:rsid w:val="00476443"/>
    <w:rsid w:val="00476E28"/>
    <w:rsid w:val="00476EC0"/>
    <w:rsid w:val="00482475"/>
    <w:rsid w:val="00485416"/>
    <w:rsid w:val="00485D2C"/>
    <w:rsid w:val="004871D8"/>
    <w:rsid w:val="00487871"/>
    <w:rsid w:val="00487D19"/>
    <w:rsid w:val="004923E5"/>
    <w:rsid w:val="00493010"/>
    <w:rsid w:val="0049590D"/>
    <w:rsid w:val="00495CDF"/>
    <w:rsid w:val="00496D0C"/>
    <w:rsid w:val="00497B60"/>
    <w:rsid w:val="004A0425"/>
    <w:rsid w:val="004A088B"/>
    <w:rsid w:val="004A1D87"/>
    <w:rsid w:val="004A2094"/>
    <w:rsid w:val="004A3202"/>
    <w:rsid w:val="004A41EF"/>
    <w:rsid w:val="004B2C35"/>
    <w:rsid w:val="004B3124"/>
    <w:rsid w:val="004B4905"/>
    <w:rsid w:val="004B4915"/>
    <w:rsid w:val="004B6B0A"/>
    <w:rsid w:val="004B74CC"/>
    <w:rsid w:val="004C0592"/>
    <w:rsid w:val="004C3D56"/>
    <w:rsid w:val="004C4A07"/>
    <w:rsid w:val="004C67C6"/>
    <w:rsid w:val="004C7091"/>
    <w:rsid w:val="004D23E3"/>
    <w:rsid w:val="004D2687"/>
    <w:rsid w:val="004D2E3C"/>
    <w:rsid w:val="004D3644"/>
    <w:rsid w:val="004D399C"/>
    <w:rsid w:val="004D51F4"/>
    <w:rsid w:val="004D6C4B"/>
    <w:rsid w:val="004D7009"/>
    <w:rsid w:val="004E0DC0"/>
    <w:rsid w:val="004E1633"/>
    <w:rsid w:val="004E3B01"/>
    <w:rsid w:val="004F1A9A"/>
    <w:rsid w:val="004F2CDB"/>
    <w:rsid w:val="004F2CFE"/>
    <w:rsid w:val="004F33C6"/>
    <w:rsid w:val="004F3DD8"/>
    <w:rsid w:val="004F420D"/>
    <w:rsid w:val="004F51C0"/>
    <w:rsid w:val="004F6311"/>
    <w:rsid w:val="00500D45"/>
    <w:rsid w:val="00501FE2"/>
    <w:rsid w:val="005026E6"/>
    <w:rsid w:val="00503B8A"/>
    <w:rsid w:val="005040B6"/>
    <w:rsid w:val="00504B6B"/>
    <w:rsid w:val="005053E4"/>
    <w:rsid w:val="00505C90"/>
    <w:rsid w:val="00512C1E"/>
    <w:rsid w:val="00514D2E"/>
    <w:rsid w:val="005150C5"/>
    <w:rsid w:val="0051562B"/>
    <w:rsid w:val="00517ADD"/>
    <w:rsid w:val="00522146"/>
    <w:rsid w:val="00530155"/>
    <w:rsid w:val="00530AB8"/>
    <w:rsid w:val="00531AF4"/>
    <w:rsid w:val="005363A1"/>
    <w:rsid w:val="0053782C"/>
    <w:rsid w:val="00542D13"/>
    <w:rsid w:val="0054575D"/>
    <w:rsid w:val="00545841"/>
    <w:rsid w:val="0054627C"/>
    <w:rsid w:val="00546CF4"/>
    <w:rsid w:val="00547066"/>
    <w:rsid w:val="00550F71"/>
    <w:rsid w:val="005521F9"/>
    <w:rsid w:val="0055302F"/>
    <w:rsid w:val="005531BC"/>
    <w:rsid w:val="00555942"/>
    <w:rsid w:val="00556671"/>
    <w:rsid w:val="005578A1"/>
    <w:rsid w:val="005601AF"/>
    <w:rsid w:val="00561F6F"/>
    <w:rsid w:val="00562D9F"/>
    <w:rsid w:val="00563113"/>
    <w:rsid w:val="00563409"/>
    <w:rsid w:val="005650F8"/>
    <w:rsid w:val="00565141"/>
    <w:rsid w:val="005652C8"/>
    <w:rsid w:val="00575E57"/>
    <w:rsid w:val="00580019"/>
    <w:rsid w:val="00580671"/>
    <w:rsid w:val="00580D71"/>
    <w:rsid w:val="005811A6"/>
    <w:rsid w:val="0058157E"/>
    <w:rsid w:val="00581A40"/>
    <w:rsid w:val="0058785F"/>
    <w:rsid w:val="005914F4"/>
    <w:rsid w:val="005915B1"/>
    <w:rsid w:val="00591B56"/>
    <w:rsid w:val="0059324F"/>
    <w:rsid w:val="005954E4"/>
    <w:rsid w:val="00595C94"/>
    <w:rsid w:val="0059683F"/>
    <w:rsid w:val="005974B9"/>
    <w:rsid w:val="005A0E65"/>
    <w:rsid w:val="005A104F"/>
    <w:rsid w:val="005A114F"/>
    <w:rsid w:val="005A58BA"/>
    <w:rsid w:val="005A6421"/>
    <w:rsid w:val="005A6C69"/>
    <w:rsid w:val="005A6DBC"/>
    <w:rsid w:val="005B1AD1"/>
    <w:rsid w:val="005B2A7D"/>
    <w:rsid w:val="005B3B11"/>
    <w:rsid w:val="005B42F9"/>
    <w:rsid w:val="005B6997"/>
    <w:rsid w:val="005B6B0D"/>
    <w:rsid w:val="005C11ED"/>
    <w:rsid w:val="005C2719"/>
    <w:rsid w:val="005C3773"/>
    <w:rsid w:val="005C5958"/>
    <w:rsid w:val="005D1B34"/>
    <w:rsid w:val="005D38B1"/>
    <w:rsid w:val="005D45F7"/>
    <w:rsid w:val="005D4688"/>
    <w:rsid w:val="005D4897"/>
    <w:rsid w:val="005D57A7"/>
    <w:rsid w:val="005D7AC2"/>
    <w:rsid w:val="005E0090"/>
    <w:rsid w:val="005E0399"/>
    <w:rsid w:val="005E0600"/>
    <w:rsid w:val="005E1A31"/>
    <w:rsid w:val="005E1F18"/>
    <w:rsid w:val="005E25D8"/>
    <w:rsid w:val="005E2847"/>
    <w:rsid w:val="005E4276"/>
    <w:rsid w:val="005E6DA3"/>
    <w:rsid w:val="005E7035"/>
    <w:rsid w:val="005F2A4A"/>
    <w:rsid w:val="005F38F3"/>
    <w:rsid w:val="005F3EEF"/>
    <w:rsid w:val="005F5A01"/>
    <w:rsid w:val="005F7A0E"/>
    <w:rsid w:val="00600D20"/>
    <w:rsid w:val="00602BC0"/>
    <w:rsid w:val="00604B93"/>
    <w:rsid w:val="006052FB"/>
    <w:rsid w:val="00605709"/>
    <w:rsid w:val="006134C7"/>
    <w:rsid w:val="00613729"/>
    <w:rsid w:val="0061392B"/>
    <w:rsid w:val="00617467"/>
    <w:rsid w:val="0061765C"/>
    <w:rsid w:val="0061775A"/>
    <w:rsid w:val="0062200F"/>
    <w:rsid w:val="00622A7B"/>
    <w:rsid w:val="00626534"/>
    <w:rsid w:val="00627F77"/>
    <w:rsid w:val="00631A14"/>
    <w:rsid w:val="006321CF"/>
    <w:rsid w:val="00634E11"/>
    <w:rsid w:val="00635837"/>
    <w:rsid w:val="00635BB2"/>
    <w:rsid w:val="00636D7B"/>
    <w:rsid w:val="00637370"/>
    <w:rsid w:val="00637795"/>
    <w:rsid w:val="00637B78"/>
    <w:rsid w:val="00637D4A"/>
    <w:rsid w:val="00640813"/>
    <w:rsid w:val="0064160B"/>
    <w:rsid w:val="00642E17"/>
    <w:rsid w:val="00643233"/>
    <w:rsid w:val="006448FE"/>
    <w:rsid w:val="00645C21"/>
    <w:rsid w:val="00652D52"/>
    <w:rsid w:val="006531B1"/>
    <w:rsid w:val="006539F3"/>
    <w:rsid w:val="00653AA3"/>
    <w:rsid w:val="00654524"/>
    <w:rsid w:val="006548FB"/>
    <w:rsid w:val="006559EA"/>
    <w:rsid w:val="00661178"/>
    <w:rsid w:val="00664429"/>
    <w:rsid w:val="00664D9F"/>
    <w:rsid w:val="00667DAE"/>
    <w:rsid w:val="00672427"/>
    <w:rsid w:val="006765F4"/>
    <w:rsid w:val="00676CDC"/>
    <w:rsid w:val="00676D42"/>
    <w:rsid w:val="00684E0C"/>
    <w:rsid w:val="006861C3"/>
    <w:rsid w:val="00686AC6"/>
    <w:rsid w:val="0068732F"/>
    <w:rsid w:val="00687ACA"/>
    <w:rsid w:val="006905F1"/>
    <w:rsid w:val="00691279"/>
    <w:rsid w:val="00694506"/>
    <w:rsid w:val="0069487D"/>
    <w:rsid w:val="00695923"/>
    <w:rsid w:val="006A0771"/>
    <w:rsid w:val="006A13FE"/>
    <w:rsid w:val="006A1F3D"/>
    <w:rsid w:val="006A45D6"/>
    <w:rsid w:val="006B0B7F"/>
    <w:rsid w:val="006B1BC1"/>
    <w:rsid w:val="006B2E49"/>
    <w:rsid w:val="006B3BEC"/>
    <w:rsid w:val="006B437D"/>
    <w:rsid w:val="006B4FD7"/>
    <w:rsid w:val="006B79E9"/>
    <w:rsid w:val="006C2F46"/>
    <w:rsid w:val="006C3C57"/>
    <w:rsid w:val="006C4B4A"/>
    <w:rsid w:val="006D4C06"/>
    <w:rsid w:val="006D54CF"/>
    <w:rsid w:val="006D59AE"/>
    <w:rsid w:val="006D67D9"/>
    <w:rsid w:val="006D7F94"/>
    <w:rsid w:val="006E27C0"/>
    <w:rsid w:val="006E3662"/>
    <w:rsid w:val="006E4F6E"/>
    <w:rsid w:val="006E500D"/>
    <w:rsid w:val="006E5665"/>
    <w:rsid w:val="006E6ED9"/>
    <w:rsid w:val="006F0D17"/>
    <w:rsid w:val="006F0EC9"/>
    <w:rsid w:val="006F24E6"/>
    <w:rsid w:val="006F2F71"/>
    <w:rsid w:val="006F4223"/>
    <w:rsid w:val="006F4C6B"/>
    <w:rsid w:val="006F6B61"/>
    <w:rsid w:val="007003F1"/>
    <w:rsid w:val="00702012"/>
    <w:rsid w:val="00702BAF"/>
    <w:rsid w:val="00703DF3"/>
    <w:rsid w:val="00704184"/>
    <w:rsid w:val="00704261"/>
    <w:rsid w:val="00704C59"/>
    <w:rsid w:val="00706194"/>
    <w:rsid w:val="00706EC5"/>
    <w:rsid w:val="00711753"/>
    <w:rsid w:val="0071337B"/>
    <w:rsid w:val="007143AB"/>
    <w:rsid w:val="00714A6C"/>
    <w:rsid w:val="00716045"/>
    <w:rsid w:val="007207B5"/>
    <w:rsid w:val="00723E69"/>
    <w:rsid w:val="007242F7"/>
    <w:rsid w:val="00724ACC"/>
    <w:rsid w:val="00724D2C"/>
    <w:rsid w:val="007278BF"/>
    <w:rsid w:val="007307C5"/>
    <w:rsid w:val="007309DC"/>
    <w:rsid w:val="00732388"/>
    <w:rsid w:val="007356B2"/>
    <w:rsid w:val="00736063"/>
    <w:rsid w:val="0073637B"/>
    <w:rsid w:val="00740A54"/>
    <w:rsid w:val="00740EE8"/>
    <w:rsid w:val="00743EA9"/>
    <w:rsid w:val="00745905"/>
    <w:rsid w:val="0074689D"/>
    <w:rsid w:val="00750A0B"/>
    <w:rsid w:val="00751293"/>
    <w:rsid w:val="00753785"/>
    <w:rsid w:val="007541B8"/>
    <w:rsid w:val="007544F6"/>
    <w:rsid w:val="00757D0B"/>
    <w:rsid w:val="00757E34"/>
    <w:rsid w:val="0076003F"/>
    <w:rsid w:val="007600A6"/>
    <w:rsid w:val="0076431A"/>
    <w:rsid w:val="00766F27"/>
    <w:rsid w:val="00771A52"/>
    <w:rsid w:val="007762A6"/>
    <w:rsid w:val="00777985"/>
    <w:rsid w:val="0078114E"/>
    <w:rsid w:val="007819BF"/>
    <w:rsid w:val="00781D42"/>
    <w:rsid w:val="0078248E"/>
    <w:rsid w:val="007857E3"/>
    <w:rsid w:val="00785D4A"/>
    <w:rsid w:val="007868BD"/>
    <w:rsid w:val="0078750C"/>
    <w:rsid w:val="007879E8"/>
    <w:rsid w:val="0079058B"/>
    <w:rsid w:val="00791540"/>
    <w:rsid w:val="00796EBC"/>
    <w:rsid w:val="007A15FD"/>
    <w:rsid w:val="007A1B25"/>
    <w:rsid w:val="007A1BC1"/>
    <w:rsid w:val="007A67B9"/>
    <w:rsid w:val="007A7706"/>
    <w:rsid w:val="007B1244"/>
    <w:rsid w:val="007B5066"/>
    <w:rsid w:val="007B662F"/>
    <w:rsid w:val="007B6D8F"/>
    <w:rsid w:val="007C07AD"/>
    <w:rsid w:val="007C1868"/>
    <w:rsid w:val="007C1DD4"/>
    <w:rsid w:val="007C445F"/>
    <w:rsid w:val="007C4980"/>
    <w:rsid w:val="007C6FED"/>
    <w:rsid w:val="007D203F"/>
    <w:rsid w:val="007D41F8"/>
    <w:rsid w:val="007D585D"/>
    <w:rsid w:val="007D61E0"/>
    <w:rsid w:val="007D684D"/>
    <w:rsid w:val="007D6F2A"/>
    <w:rsid w:val="007E0050"/>
    <w:rsid w:val="007E1B23"/>
    <w:rsid w:val="007E3C5F"/>
    <w:rsid w:val="007E3FE1"/>
    <w:rsid w:val="007E554B"/>
    <w:rsid w:val="007E6C44"/>
    <w:rsid w:val="007E6FF6"/>
    <w:rsid w:val="007E7FD0"/>
    <w:rsid w:val="007F07F8"/>
    <w:rsid w:val="007F128C"/>
    <w:rsid w:val="007F31E4"/>
    <w:rsid w:val="007F3C99"/>
    <w:rsid w:val="007F3DD0"/>
    <w:rsid w:val="007F4D2C"/>
    <w:rsid w:val="007F690B"/>
    <w:rsid w:val="0080326F"/>
    <w:rsid w:val="0080472A"/>
    <w:rsid w:val="00804C1A"/>
    <w:rsid w:val="00805017"/>
    <w:rsid w:val="00805A83"/>
    <w:rsid w:val="0080638F"/>
    <w:rsid w:val="00807B65"/>
    <w:rsid w:val="008108B5"/>
    <w:rsid w:val="00810911"/>
    <w:rsid w:val="00811DFE"/>
    <w:rsid w:val="00812382"/>
    <w:rsid w:val="008139FF"/>
    <w:rsid w:val="008144EA"/>
    <w:rsid w:val="00815D71"/>
    <w:rsid w:val="008217D8"/>
    <w:rsid w:val="00821AA3"/>
    <w:rsid w:val="008229B8"/>
    <w:rsid w:val="00822A55"/>
    <w:rsid w:val="00824EBE"/>
    <w:rsid w:val="0082513E"/>
    <w:rsid w:val="00825353"/>
    <w:rsid w:val="008273C9"/>
    <w:rsid w:val="0083185D"/>
    <w:rsid w:val="00842234"/>
    <w:rsid w:val="00845458"/>
    <w:rsid w:val="008461C8"/>
    <w:rsid w:val="00847AB1"/>
    <w:rsid w:val="00847DE1"/>
    <w:rsid w:val="00851796"/>
    <w:rsid w:val="00853447"/>
    <w:rsid w:val="00854AC9"/>
    <w:rsid w:val="008556B9"/>
    <w:rsid w:val="0085663E"/>
    <w:rsid w:val="008575B7"/>
    <w:rsid w:val="0086017E"/>
    <w:rsid w:val="00860BE2"/>
    <w:rsid w:val="008612FB"/>
    <w:rsid w:val="0086332B"/>
    <w:rsid w:val="00864947"/>
    <w:rsid w:val="00872C6D"/>
    <w:rsid w:val="008731D4"/>
    <w:rsid w:val="00873C38"/>
    <w:rsid w:val="00874A6B"/>
    <w:rsid w:val="00875620"/>
    <w:rsid w:val="00877AFF"/>
    <w:rsid w:val="008807D9"/>
    <w:rsid w:val="00882415"/>
    <w:rsid w:val="00882785"/>
    <w:rsid w:val="00887123"/>
    <w:rsid w:val="00887423"/>
    <w:rsid w:val="00887FA8"/>
    <w:rsid w:val="0089138A"/>
    <w:rsid w:val="00891E9E"/>
    <w:rsid w:val="00894098"/>
    <w:rsid w:val="00894787"/>
    <w:rsid w:val="00895000"/>
    <w:rsid w:val="00895E39"/>
    <w:rsid w:val="00896948"/>
    <w:rsid w:val="008A25E9"/>
    <w:rsid w:val="008A428B"/>
    <w:rsid w:val="008A4FF9"/>
    <w:rsid w:val="008A63AB"/>
    <w:rsid w:val="008A65A1"/>
    <w:rsid w:val="008A75A7"/>
    <w:rsid w:val="008B0AFA"/>
    <w:rsid w:val="008B0D3B"/>
    <w:rsid w:val="008B24BF"/>
    <w:rsid w:val="008B38F0"/>
    <w:rsid w:val="008B70E6"/>
    <w:rsid w:val="008C2CD3"/>
    <w:rsid w:val="008C447A"/>
    <w:rsid w:val="008C5A29"/>
    <w:rsid w:val="008C75AA"/>
    <w:rsid w:val="008D00A5"/>
    <w:rsid w:val="008D02B2"/>
    <w:rsid w:val="008D0789"/>
    <w:rsid w:val="008D0EB0"/>
    <w:rsid w:val="008D4840"/>
    <w:rsid w:val="008D53CF"/>
    <w:rsid w:val="008D67A7"/>
    <w:rsid w:val="008D6AE1"/>
    <w:rsid w:val="008D767B"/>
    <w:rsid w:val="008E0A48"/>
    <w:rsid w:val="008E4DB0"/>
    <w:rsid w:val="008E5031"/>
    <w:rsid w:val="008E55FB"/>
    <w:rsid w:val="008E7B99"/>
    <w:rsid w:val="008F0058"/>
    <w:rsid w:val="008F0814"/>
    <w:rsid w:val="008F103C"/>
    <w:rsid w:val="008F1678"/>
    <w:rsid w:val="008F2CB3"/>
    <w:rsid w:val="008F56AD"/>
    <w:rsid w:val="008F5853"/>
    <w:rsid w:val="008F601D"/>
    <w:rsid w:val="009019F0"/>
    <w:rsid w:val="00902106"/>
    <w:rsid w:val="009041E5"/>
    <w:rsid w:val="009042D3"/>
    <w:rsid w:val="0090522F"/>
    <w:rsid w:val="00905891"/>
    <w:rsid w:val="00905E3A"/>
    <w:rsid w:val="009079BE"/>
    <w:rsid w:val="0091144B"/>
    <w:rsid w:val="00911713"/>
    <w:rsid w:val="00911E05"/>
    <w:rsid w:val="00911EFA"/>
    <w:rsid w:val="009136CC"/>
    <w:rsid w:val="0091405A"/>
    <w:rsid w:val="009169C4"/>
    <w:rsid w:val="00916E49"/>
    <w:rsid w:val="00917951"/>
    <w:rsid w:val="009211DB"/>
    <w:rsid w:val="00922823"/>
    <w:rsid w:val="00922A0F"/>
    <w:rsid w:val="0092353D"/>
    <w:rsid w:val="00923A3D"/>
    <w:rsid w:val="0092501F"/>
    <w:rsid w:val="00930806"/>
    <w:rsid w:val="00931DE7"/>
    <w:rsid w:val="009321CC"/>
    <w:rsid w:val="009337E9"/>
    <w:rsid w:val="00933B75"/>
    <w:rsid w:val="00933BA9"/>
    <w:rsid w:val="009372B2"/>
    <w:rsid w:val="00941A0B"/>
    <w:rsid w:val="00941B4A"/>
    <w:rsid w:val="00944A5F"/>
    <w:rsid w:val="00946A11"/>
    <w:rsid w:val="00950264"/>
    <w:rsid w:val="00952417"/>
    <w:rsid w:val="00952748"/>
    <w:rsid w:val="00954805"/>
    <w:rsid w:val="00955D21"/>
    <w:rsid w:val="009561E2"/>
    <w:rsid w:val="00956B29"/>
    <w:rsid w:val="00961176"/>
    <w:rsid w:val="00963A26"/>
    <w:rsid w:val="00964A72"/>
    <w:rsid w:val="00964CF6"/>
    <w:rsid w:val="00967998"/>
    <w:rsid w:val="009709D5"/>
    <w:rsid w:val="00972168"/>
    <w:rsid w:val="009732CE"/>
    <w:rsid w:val="00976306"/>
    <w:rsid w:val="00977119"/>
    <w:rsid w:val="00980153"/>
    <w:rsid w:val="00983F09"/>
    <w:rsid w:val="00986051"/>
    <w:rsid w:val="00986E92"/>
    <w:rsid w:val="0098725F"/>
    <w:rsid w:val="0099392E"/>
    <w:rsid w:val="00993E8F"/>
    <w:rsid w:val="00994358"/>
    <w:rsid w:val="00997579"/>
    <w:rsid w:val="009A3926"/>
    <w:rsid w:val="009A42CA"/>
    <w:rsid w:val="009A55AA"/>
    <w:rsid w:val="009A586D"/>
    <w:rsid w:val="009A5D5B"/>
    <w:rsid w:val="009A6956"/>
    <w:rsid w:val="009B151D"/>
    <w:rsid w:val="009B15B5"/>
    <w:rsid w:val="009B306A"/>
    <w:rsid w:val="009B314B"/>
    <w:rsid w:val="009B33BE"/>
    <w:rsid w:val="009B584E"/>
    <w:rsid w:val="009B621F"/>
    <w:rsid w:val="009B6DFF"/>
    <w:rsid w:val="009B79E2"/>
    <w:rsid w:val="009C255E"/>
    <w:rsid w:val="009C2B01"/>
    <w:rsid w:val="009C364A"/>
    <w:rsid w:val="009C38B0"/>
    <w:rsid w:val="009C5749"/>
    <w:rsid w:val="009C5BED"/>
    <w:rsid w:val="009C787F"/>
    <w:rsid w:val="009D0478"/>
    <w:rsid w:val="009D11AD"/>
    <w:rsid w:val="009D1C4F"/>
    <w:rsid w:val="009D2D1D"/>
    <w:rsid w:val="009E0C8A"/>
    <w:rsid w:val="009E0E57"/>
    <w:rsid w:val="009E273D"/>
    <w:rsid w:val="009E2F2C"/>
    <w:rsid w:val="009E636D"/>
    <w:rsid w:val="009E67F4"/>
    <w:rsid w:val="009E7858"/>
    <w:rsid w:val="009F1675"/>
    <w:rsid w:val="009F1CB1"/>
    <w:rsid w:val="009F42C7"/>
    <w:rsid w:val="009F58CE"/>
    <w:rsid w:val="009F6A2F"/>
    <w:rsid w:val="009F7D20"/>
    <w:rsid w:val="00A03425"/>
    <w:rsid w:val="00A04B07"/>
    <w:rsid w:val="00A04E90"/>
    <w:rsid w:val="00A050DE"/>
    <w:rsid w:val="00A1036A"/>
    <w:rsid w:val="00A104AC"/>
    <w:rsid w:val="00A106AF"/>
    <w:rsid w:val="00A159B3"/>
    <w:rsid w:val="00A179F2"/>
    <w:rsid w:val="00A20030"/>
    <w:rsid w:val="00A217FD"/>
    <w:rsid w:val="00A21819"/>
    <w:rsid w:val="00A22467"/>
    <w:rsid w:val="00A227BE"/>
    <w:rsid w:val="00A22DD2"/>
    <w:rsid w:val="00A24076"/>
    <w:rsid w:val="00A25989"/>
    <w:rsid w:val="00A26249"/>
    <w:rsid w:val="00A270B1"/>
    <w:rsid w:val="00A27B3E"/>
    <w:rsid w:val="00A316AA"/>
    <w:rsid w:val="00A32B26"/>
    <w:rsid w:val="00A34C90"/>
    <w:rsid w:val="00A352F0"/>
    <w:rsid w:val="00A355E9"/>
    <w:rsid w:val="00A36981"/>
    <w:rsid w:val="00A371FD"/>
    <w:rsid w:val="00A404EE"/>
    <w:rsid w:val="00A41183"/>
    <w:rsid w:val="00A41EE3"/>
    <w:rsid w:val="00A4217D"/>
    <w:rsid w:val="00A42CBC"/>
    <w:rsid w:val="00A44852"/>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308"/>
    <w:rsid w:val="00A805B9"/>
    <w:rsid w:val="00A80971"/>
    <w:rsid w:val="00A82A15"/>
    <w:rsid w:val="00A82C88"/>
    <w:rsid w:val="00A84507"/>
    <w:rsid w:val="00A853D7"/>
    <w:rsid w:val="00A91556"/>
    <w:rsid w:val="00A91E52"/>
    <w:rsid w:val="00A91EF4"/>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14B"/>
    <w:rsid w:val="00AB5CFD"/>
    <w:rsid w:val="00AB7614"/>
    <w:rsid w:val="00AB7986"/>
    <w:rsid w:val="00AC0A5A"/>
    <w:rsid w:val="00AC0AD5"/>
    <w:rsid w:val="00AC3DF4"/>
    <w:rsid w:val="00AC658A"/>
    <w:rsid w:val="00AC77E7"/>
    <w:rsid w:val="00AD1997"/>
    <w:rsid w:val="00AD2DED"/>
    <w:rsid w:val="00AD3254"/>
    <w:rsid w:val="00AD3804"/>
    <w:rsid w:val="00AD4C57"/>
    <w:rsid w:val="00AD4E02"/>
    <w:rsid w:val="00AD67D7"/>
    <w:rsid w:val="00AE0CC6"/>
    <w:rsid w:val="00AE16F6"/>
    <w:rsid w:val="00AE244B"/>
    <w:rsid w:val="00AE334D"/>
    <w:rsid w:val="00AE3818"/>
    <w:rsid w:val="00AE4D6B"/>
    <w:rsid w:val="00AE6155"/>
    <w:rsid w:val="00AE79CA"/>
    <w:rsid w:val="00AF13FC"/>
    <w:rsid w:val="00AF432C"/>
    <w:rsid w:val="00AF4483"/>
    <w:rsid w:val="00AF482A"/>
    <w:rsid w:val="00AF61DB"/>
    <w:rsid w:val="00AF73F5"/>
    <w:rsid w:val="00AF7CC2"/>
    <w:rsid w:val="00B04311"/>
    <w:rsid w:val="00B04741"/>
    <w:rsid w:val="00B056EE"/>
    <w:rsid w:val="00B060B9"/>
    <w:rsid w:val="00B0669A"/>
    <w:rsid w:val="00B07AF0"/>
    <w:rsid w:val="00B120BC"/>
    <w:rsid w:val="00B13007"/>
    <w:rsid w:val="00B13165"/>
    <w:rsid w:val="00B13DDE"/>
    <w:rsid w:val="00B1512A"/>
    <w:rsid w:val="00B16BE8"/>
    <w:rsid w:val="00B17BEC"/>
    <w:rsid w:val="00B17FA1"/>
    <w:rsid w:val="00B20423"/>
    <w:rsid w:val="00B20A7D"/>
    <w:rsid w:val="00B22D4A"/>
    <w:rsid w:val="00B23071"/>
    <w:rsid w:val="00B23EB7"/>
    <w:rsid w:val="00B24AC5"/>
    <w:rsid w:val="00B26BF4"/>
    <w:rsid w:val="00B26EA2"/>
    <w:rsid w:val="00B36845"/>
    <w:rsid w:val="00B37DFB"/>
    <w:rsid w:val="00B40086"/>
    <w:rsid w:val="00B438B2"/>
    <w:rsid w:val="00B45762"/>
    <w:rsid w:val="00B47866"/>
    <w:rsid w:val="00B51E09"/>
    <w:rsid w:val="00B526EB"/>
    <w:rsid w:val="00B52FE7"/>
    <w:rsid w:val="00B53C6D"/>
    <w:rsid w:val="00B5646E"/>
    <w:rsid w:val="00B571AD"/>
    <w:rsid w:val="00B626B2"/>
    <w:rsid w:val="00B6495C"/>
    <w:rsid w:val="00B657B2"/>
    <w:rsid w:val="00B6601D"/>
    <w:rsid w:val="00B6625A"/>
    <w:rsid w:val="00B706ED"/>
    <w:rsid w:val="00B70D7B"/>
    <w:rsid w:val="00B71791"/>
    <w:rsid w:val="00B72388"/>
    <w:rsid w:val="00B726C8"/>
    <w:rsid w:val="00B73BC4"/>
    <w:rsid w:val="00B74581"/>
    <w:rsid w:val="00B8169D"/>
    <w:rsid w:val="00B81FEE"/>
    <w:rsid w:val="00B8670B"/>
    <w:rsid w:val="00B875E8"/>
    <w:rsid w:val="00B93507"/>
    <w:rsid w:val="00B95259"/>
    <w:rsid w:val="00B959B3"/>
    <w:rsid w:val="00BA0479"/>
    <w:rsid w:val="00BA53C1"/>
    <w:rsid w:val="00BA6475"/>
    <w:rsid w:val="00BB366C"/>
    <w:rsid w:val="00BB4684"/>
    <w:rsid w:val="00BB47D6"/>
    <w:rsid w:val="00BB5FC3"/>
    <w:rsid w:val="00BB61BA"/>
    <w:rsid w:val="00BB64B1"/>
    <w:rsid w:val="00BB7262"/>
    <w:rsid w:val="00BB761F"/>
    <w:rsid w:val="00BC727A"/>
    <w:rsid w:val="00BD01EC"/>
    <w:rsid w:val="00BD025D"/>
    <w:rsid w:val="00BD1EE8"/>
    <w:rsid w:val="00BD22C6"/>
    <w:rsid w:val="00BD313B"/>
    <w:rsid w:val="00BD74E3"/>
    <w:rsid w:val="00BD76CD"/>
    <w:rsid w:val="00BE015E"/>
    <w:rsid w:val="00BE25F5"/>
    <w:rsid w:val="00BE2E99"/>
    <w:rsid w:val="00BE656B"/>
    <w:rsid w:val="00BF02A2"/>
    <w:rsid w:val="00BF1113"/>
    <w:rsid w:val="00BF2CE8"/>
    <w:rsid w:val="00BF32B1"/>
    <w:rsid w:val="00BF4D42"/>
    <w:rsid w:val="00BF5624"/>
    <w:rsid w:val="00BF6340"/>
    <w:rsid w:val="00BF6DEF"/>
    <w:rsid w:val="00BF7A10"/>
    <w:rsid w:val="00C019FA"/>
    <w:rsid w:val="00C04914"/>
    <w:rsid w:val="00C04C61"/>
    <w:rsid w:val="00C04D76"/>
    <w:rsid w:val="00C04DC1"/>
    <w:rsid w:val="00C06FDC"/>
    <w:rsid w:val="00C07A2A"/>
    <w:rsid w:val="00C110AC"/>
    <w:rsid w:val="00C12658"/>
    <w:rsid w:val="00C141C8"/>
    <w:rsid w:val="00C14940"/>
    <w:rsid w:val="00C161B7"/>
    <w:rsid w:val="00C22764"/>
    <w:rsid w:val="00C231D3"/>
    <w:rsid w:val="00C258F9"/>
    <w:rsid w:val="00C27542"/>
    <w:rsid w:val="00C276C2"/>
    <w:rsid w:val="00C32EDB"/>
    <w:rsid w:val="00C36E32"/>
    <w:rsid w:val="00C40398"/>
    <w:rsid w:val="00C40749"/>
    <w:rsid w:val="00C42379"/>
    <w:rsid w:val="00C4317F"/>
    <w:rsid w:val="00C4578F"/>
    <w:rsid w:val="00C479DD"/>
    <w:rsid w:val="00C52B4F"/>
    <w:rsid w:val="00C54D93"/>
    <w:rsid w:val="00C5552C"/>
    <w:rsid w:val="00C55FBE"/>
    <w:rsid w:val="00C611FB"/>
    <w:rsid w:val="00C6162C"/>
    <w:rsid w:val="00C6175C"/>
    <w:rsid w:val="00C61EBF"/>
    <w:rsid w:val="00C647B5"/>
    <w:rsid w:val="00C66A4A"/>
    <w:rsid w:val="00C708FC"/>
    <w:rsid w:val="00C70AD7"/>
    <w:rsid w:val="00C70DE0"/>
    <w:rsid w:val="00C713A0"/>
    <w:rsid w:val="00C720EB"/>
    <w:rsid w:val="00C72162"/>
    <w:rsid w:val="00C75A9C"/>
    <w:rsid w:val="00C769BA"/>
    <w:rsid w:val="00C77F8F"/>
    <w:rsid w:val="00C80B0B"/>
    <w:rsid w:val="00C8194C"/>
    <w:rsid w:val="00C81DAD"/>
    <w:rsid w:val="00C82195"/>
    <w:rsid w:val="00C84780"/>
    <w:rsid w:val="00C84FE2"/>
    <w:rsid w:val="00C8551D"/>
    <w:rsid w:val="00C86492"/>
    <w:rsid w:val="00C86DE6"/>
    <w:rsid w:val="00C90C2B"/>
    <w:rsid w:val="00C9123A"/>
    <w:rsid w:val="00C9614C"/>
    <w:rsid w:val="00C9643A"/>
    <w:rsid w:val="00CA1093"/>
    <w:rsid w:val="00CA29A6"/>
    <w:rsid w:val="00CA41ED"/>
    <w:rsid w:val="00CA421E"/>
    <w:rsid w:val="00CA49EC"/>
    <w:rsid w:val="00CA7C55"/>
    <w:rsid w:val="00CB3368"/>
    <w:rsid w:val="00CB4E08"/>
    <w:rsid w:val="00CB5980"/>
    <w:rsid w:val="00CC0409"/>
    <w:rsid w:val="00CC064B"/>
    <w:rsid w:val="00CC1A38"/>
    <w:rsid w:val="00CC383C"/>
    <w:rsid w:val="00CC74A5"/>
    <w:rsid w:val="00CD12E3"/>
    <w:rsid w:val="00CD3E0B"/>
    <w:rsid w:val="00CE0DB4"/>
    <w:rsid w:val="00CE1C67"/>
    <w:rsid w:val="00CE308F"/>
    <w:rsid w:val="00CE480C"/>
    <w:rsid w:val="00CE488E"/>
    <w:rsid w:val="00CE6DE0"/>
    <w:rsid w:val="00CE7B86"/>
    <w:rsid w:val="00CE7F2B"/>
    <w:rsid w:val="00CF2096"/>
    <w:rsid w:val="00CF4CC1"/>
    <w:rsid w:val="00D015E5"/>
    <w:rsid w:val="00D01D3C"/>
    <w:rsid w:val="00D04569"/>
    <w:rsid w:val="00D046B5"/>
    <w:rsid w:val="00D04A3B"/>
    <w:rsid w:val="00D102B5"/>
    <w:rsid w:val="00D10A92"/>
    <w:rsid w:val="00D114EF"/>
    <w:rsid w:val="00D120D2"/>
    <w:rsid w:val="00D130B8"/>
    <w:rsid w:val="00D20890"/>
    <w:rsid w:val="00D20CBC"/>
    <w:rsid w:val="00D20FF7"/>
    <w:rsid w:val="00D21009"/>
    <w:rsid w:val="00D22776"/>
    <w:rsid w:val="00D23777"/>
    <w:rsid w:val="00D247DC"/>
    <w:rsid w:val="00D2546A"/>
    <w:rsid w:val="00D263F1"/>
    <w:rsid w:val="00D26D38"/>
    <w:rsid w:val="00D27C4D"/>
    <w:rsid w:val="00D313A3"/>
    <w:rsid w:val="00D3230D"/>
    <w:rsid w:val="00D339D1"/>
    <w:rsid w:val="00D364A1"/>
    <w:rsid w:val="00D371B7"/>
    <w:rsid w:val="00D37CB4"/>
    <w:rsid w:val="00D37CB7"/>
    <w:rsid w:val="00D416E3"/>
    <w:rsid w:val="00D421D8"/>
    <w:rsid w:val="00D504E7"/>
    <w:rsid w:val="00D505C9"/>
    <w:rsid w:val="00D50A63"/>
    <w:rsid w:val="00D51465"/>
    <w:rsid w:val="00D51A23"/>
    <w:rsid w:val="00D51BB2"/>
    <w:rsid w:val="00D52AFF"/>
    <w:rsid w:val="00D53B3F"/>
    <w:rsid w:val="00D55F9A"/>
    <w:rsid w:val="00D563D7"/>
    <w:rsid w:val="00D60254"/>
    <w:rsid w:val="00D606E7"/>
    <w:rsid w:val="00D60A39"/>
    <w:rsid w:val="00D623A6"/>
    <w:rsid w:val="00D672A8"/>
    <w:rsid w:val="00D71EA0"/>
    <w:rsid w:val="00D76424"/>
    <w:rsid w:val="00D77A8B"/>
    <w:rsid w:val="00D80480"/>
    <w:rsid w:val="00D82AC0"/>
    <w:rsid w:val="00D83B1B"/>
    <w:rsid w:val="00D83DE6"/>
    <w:rsid w:val="00D84F22"/>
    <w:rsid w:val="00D861CE"/>
    <w:rsid w:val="00D865AF"/>
    <w:rsid w:val="00D87C3C"/>
    <w:rsid w:val="00D91443"/>
    <w:rsid w:val="00D92199"/>
    <w:rsid w:val="00D92363"/>
    <w:rsid w:val="00D9284F"/>
    <w:rsid w:val="00D9310C"/>
    <w:rsid w:val="00D941E0"/>
    <w:rsid w:val="00D94316"/>
    <w:rsid w:val="00D97A9D"/>
    <w:rsid w:val="00DA10FA"/>
    <w:rsid w:val="00DA2121"/>
    <w:rsid w:val="00DA510F"/>
    <w:rsid w:val="00DA6258"/>
    <w:rsid w:val="00DB3BB7"/>
    <w:rsid w:val="00DB43C1"/>
    <w:rsid w:val="00DB6177"/>
    <w:rsid w:val="00DB720D"/>
    <w:rsid w:val="00DB7916"/>
    <w:rsid w:val="00DC0D1D"/>
    <w:rsid w:val="00DC17E6"/>
    <w:rsid w:val="00DC24CB"/>
    <w:rsid w:val="00DC2D15"/>
    <w:rsid w:val="00DC3132"/>
    <w:rsid w:val="00DC3467"/>
    <w:rsid w:val="00DC35E1"/>
    <w:rsid w:val="00DC4B61"/>
    <w:rsid w:val="00DC720A"/>
    <w:rsid w:val="00DC7CC8"/>
    <w:rsid w:val="00DD11C1"/>
    <w:rsid w:val="00DD25E4"/>
    <w:rsid w:val="00DD3F4B"/>
    <w:rsid w:val="00DD7D46"/>
    <w:rsid w:val="00DE0D68"/>
    <w:rsid w:val="00DE3E8D"/>
    <w:rsid w:val="00DE685A"/>
    <w:rsid w:val="00DF02B2"/>
    <w:rsid w:val="00DF1506"/>
    <w:rsid w:val="00DF26C5"/>
    <w:rsid w:val="00DF40EE"/>
    <w:rsid w:val="00DF51BD"/>
    <w:rsid w:val="00DF6A78"/>
    <w:rsid w:val="00E00BE4"/>
    <w:rsid w:val="00E0148B"/>
    <w:rsid w:val="00E01B1D"/>
    <w:rsid w:val="00E028AB"/>
    <w:rsid w:val="00E02F9B"/>
    <w:rsid w:val="00E03C95"/>
    <w:rsid w:val="00E043C6"/>
    <w:rsid w:val="00E05891"/>
    <w:rsid w:val="00E068D3"/>
    <w:rsid w:val="00E07185"/>
    <w:rsid w:val="00E106B9"/>
    <w:rsid w:val="00E11732"/>
    <w:rsid w:val="00E11ABF"/>
    <w:rsid w:val="00E11B95"/>
    <w:rsid w:val="00E1301D"/>
    <w:rsid w:val="00E13542"/>
    <w:rsid w:val="00E146BF"/>
    <w:rsid w:val="00E17464"/>
    <w:rsid w:val="00E239FB"/>
    <w:rsid w:val="00E24D94"/>
    <w:rsid w:val="00E25EA8"/>
    <w:rsid w:val="00E25EB4"/>
    <w:rsid w:val="00E3001C"/>
    <w:rsid w:val="00E3035A"/>
    <w:rsid w:val="00E30EB3"/>
    <w:rsid w:val="00E3229A"/>
    <w:rsid w:val="00E340CF"/>
    <w:rsid w:val="00E350E3"/>
    <w:rsid w:val="00E35371"/>
    <w:rsid w:val="00E35783"/>
    <w:rsid w:val="00E35B60"/>
    <w:rsid w:val="00E36623"/>
    <w:rsid w:val="00E377B6"/>
    <w:rsid w:val="00E37A74"/>
    <w:rsid w:val="00E43672"/>
    <w:rsid w:val="00E438A0"/>
    <w:rsid w:val="00E44E6E"/>
    <w:rsid w:val="00E4524A"/>
    <w:rsid w:val="00E45D27"/>
    <w:rsid w:val="00E476B2"/>
    <w:rsid w:val="00E53285"/>
    <w:rsid w:val="00E535A3"/>
    <w:rsid w:val="00E536E5"/>
    <w:rsid w:val="00E54932"/>
    <w:rsid w:val="00E55D8C"/>
    <w:rsid w:val="00E55EB5"/>
    <w:rsid w:val="00E56A0E"/>
    <w:rsid w:val="00E60D90"/>
    <w:rsid w:val="00E6151C"/>
    <w:rsid w:val="00E626EF"/>
    <w:rsid w:val="00E62C75"/>
    <w:rsid w:val="00E63417"/>
    <w:rsid w:val="00E6471B"/>
    <w:rsid w:val="00E67327"/>
    <w:rsid w:val="00E70958"/>
    <w:rsid w:val="00E70F3F"/>
    <w:rsid w:val="00E71A96"/>
    <w:rsid w:val="00E74484"/>
    <w:rsid w:val="00E7454D"/>
    <w:rsid w:val="00E75B53"/>
    <w:rsid w:val="00E8121D"/>
    <w:rsid w:val="00E819FF"/>
    <w:rsid w:val="00E81BAE"/>
    <w:rsid w:val="00E85AAF"/>
    <w:rsid w:val="00E8677D"/>
    <w:rsid w:val="00E876B8"/>
    <w:rsid w:val="00E90E43"/>
    <w:rsid w:val="00E91752"/>
    <w:rsid w:val="00E926F5"/>
    <w:rsid w:val="00E94A82"/>
    <w:rsid w:val="00E94AC3"/>
    <w:rsid w:val="00EA04A3"/>
    <w:rsid w:val="00EA16F9"/>
    <w:rsid w:val="00EA2DFC"/>
    <w:rsid w:val="00EA2FBA"/>
    <w:rsid w:val="00EA4948"/>
    <w:rsid w:val="00EA51D9"/>
    <w:rsid w:val="00EA6D01"/>
    <w:rsid w:val="00EA73C1"/>
    <w:rsid w:val="00EB011E"/>
    <w:rsid w:val="00EB2F61"/>
    <w:rsid w:val="00EB4CD0"/>
    <w:rsid w:val="00EB528D"/>
    <w:rsid w:val="00EB5410"/>
    <w:rsid w:val="00EB54F6"/>
    <w:rsid w:val="00EB5A68"/>
    <w:rsid w:val="00EC0C9B"/>
    <w:rsid w:val="00EC0F55"/>
    <w:rsid w:val="00EC1041"/>
    <w:rsid w:val="00EC1209"/>
    <w:rsid w:val="00EC13F0"/>
    <w:rsid w:val="00EC2200"/>
    <w:rsid w:val="00EC2A35"/>
    <w:rsid w:val="00EC438C"/>
    <w:rsid w:val="00EC4A1C"/>
    <w:rsid w:val="00EC4EE2"/>
    <w:rsid w:val="00EC5ED0"/>
    <w:rsid w:val="00EC68D2"/>
    <w:rsid w:val="00EC78EF"/>
    <w:rsid w:val="00EC7F8D"/>
    <w:rsid w:val="00ED0007"/>
    <w:rsid w:val="00ED008E"/>
    <w:rsid w:val="00ED3D0C"/>
    <w:rsid w:val="00ED476C"/>
    <w:rsid w:val="00ED607C"/>
    <w:rsid w:val="00ED6081"/>
    <w:rsid w:val="00ED67DD"/>
    <w:rsid w:val="00ED7653"/>
    <w:rsid w:val="00ED7865"/>
    <w:rsid w:val="00ED7CBF"/>
    <w:rsid w:val="00EE18CC"/>
    <w:rsid w:val="00EE1A32"/>
    <w:rsid w:val="00EE32B6"/>
    <w:rsid w:val="00EE347E"/>
    <w:rsid w:val="00EE3657"/>
    <w:rsid w:val="00EE40C8"/>
    <w:rsid w:val="00EE7A05"/>
    <w:rsid w:val="00EF00C4"/>
    <w:rsid w:val="00EF05FF"/>
    <w:rsid w:val="00EF0866"/>
    <w:rsid w:val="00EF115A"/>
    <w:rsid w:val="00EF234A"/>
    <w:rsid w:val="00EF3A72"/>
    <w:rsid w:val="00EF4021"/>
    <w:rsid w:val="00EF502D"/>
    <w:rsid w:val="00EF590E"/>
    <w:rsid w:val="00EF7114"/>
    <w:rsid w:val="00EF7A4E"/>
    <w:rsid w:val="00F00A3B"/>
    <w:rsid w:val="00F00F34"/>
    <w:rsid w:val="00F01C30"/>
    <w:rsid w:val="00F0438D"/>
    <w:rsid w:val="00F04945"/>
    <w:rsid w:val="00F05BCC"/>
    <w:rsid w:val="00F06242"/>
    <w:rsid w:val="00F15104"/>
    <w:rsid w:val="00F1536E"/>
    <w:rsid w:val="00F166B1"/>
    <w:rsid w:val="00F17D02"/>
    <w:rsid w:val="00F20397"/>
    <w:rsid w:val="00F2053C"/>
    <w:rsid w:val="00F205A3"/>
    <w:rsid w:val="00F21ACC"/>
    <w:rsid w:val="00F226E4"/>
    <w:rsid w:val="00F22863"/>
    <w:rsid w:val="00F2354D"/>
    <w:rsid w:val="00F25070"/>
    <w:rsid w:val="00F2594D"/>
    <w:rsid w:val="00F26B9A"/>
    <w:rsid w:val="00F26BA6"/>
    <w:rsid w:val="00F272A1"/>
    <w:rsid w:val="00F3151C"/>
    <w:rsid w:val="00F32A47"/>
    <w:rsid w:val="00F352A5"/>
    <w:rsid w:val="00F352AF"/>
    <w:rsid w:val="00F361C7"/>
    <w:rsid w:val="00F364AD"/>
    <w:rsid w:val="00F36C65"/>
    <w:rsid w:val="00F36D7D"/>
    <w:rsid w:val="00F372FF"/>
    <w:rsid w:val="00F37734"/>
    <w:rsid w:val="00F4068A"/>
    <w:rsid w:val="00F42EDC"/>
    <w:rsid w:val="00F4358A"/>
    <w:rsid w:val="00F43CD1"/>
    <w:rsid w:val="00F46ACC"/>
    <w:rsid w:val="00F474AC"/>
    <w:rsid w:val="00F50376"/>
    <w:rsid w:val="00F50C9A"/>
    <w:rsid w:val="00F510E3"/>
    <w:rsid w:val="00F51869"/>
    <w:rsid w:val="00F52A5A"/>
    <w:rsid w:val="00F53985"/>
    <w:rsid w:val="00F54864"/>
    <w:rsid w:val="00F54B06"/>
    <w:rsid w:val="00F56206"/>
    <w:rsid w:val="00F6008E"/>
    <w:rsid w:val="00F6165B"/>
    <w:rsid w:val="00F61CB9"/>
    <w:rsid w:val="00F61D9C"/>
    <w:rsid w:val="00F621DD"/>
    <w:rsid w:val="00F62A67"/>
    <w:rsid w:val="00F70689"/>
    <w:rsid w:val="00F70DF9"/>
    <w:rsid w:val="00F71981"/>
    <w:rsid w:val="00F72833"/>
    <w:rsid w:val="00F74009"/>
    <w:rsid w:val="00F7467F"/>
    <w:rsid w:val="00F75299"/>
    <w:rsid w:val="00F75F9A"/>
    <w:rsid w:val="00F763E7"/>
    <w:rsid w:val="00F76DC7"/>
    <w:rsid w:val="00F81CB7"/>
    <w:rsid w:val="00F81EB6"/>
    <w:rsid w:val="00F822A8"/>
    <w:rsid w:val="00F83642"/>
    <w:rsid w:val="00F85601"/>
    <w:rsid w:val="00F8700C"/>
    <w:rsid w:val="00F87CB0"/>
    <w:rsid w:val="00F87EFD"/>
    <w:rsid w:val="00F91EB7"/>
    <w:rsid w:val="00F91EC3"/>
    <w:rsid w:val="00F92BA2"/>
    <w:rsid w:val="00FA15F2"/>
    <w:rsid w:val="00FA3085"/>
    <w:rsid w:val="00FA48C3"/>
    <w:rsid w:val="00FB121A"/>
    <w:rsid w:val="00FB25FE"/>
    <w:rsid w:val="00FB2735"/>
    <w:rsid w:val="00FB30EB"/>
    <w:rsid w:val="00FB3360"/>
    <w:rsid w:val="00FB3AD2"/>
    <w:rsid w:val="00FB3D7E"/>
    <w:rsid w:val="00FB40D5"/>
    <w:rsid w:val="00FB53B9"/>
    <w:rsid w:val="00FC3BC3"/>
    <w:rsid w:val="00FC5DBD"/>
    <w:rsid w:val="00FC75C4"/>
    <w:rsid w:val="00FC7A69"/>
    <w:rsid w:val="00FD0CAB"/>
    <w:rsid w:val="00FD4B44"/>
    <w:rsid w:val="00FD575A"/>
    <w:rsid w:val="00FD5D5A"/>
    <w:rsid w:val="00FE7745"/>
    <w:rsid w:val="00FF005B"/>
    <w:rsid w:val="00FF011B"/>
    <w:rsid w:val="00FF23AC"/>
    <w:rsid w:val="00FF49AB"/>
    <w:rsid w:val="00FF4CDE"/>
    <w:rsid w:val="00FF67C9"/>
    <w:rsid w:val="00FF7457"/>
    <w:rsid w:val="00FF7668"/>
    <w:rsid w:val="00FF7D2D"/>
    <w:rsid w:val="0ABA644D"/>
    <w:rsid w:val="0F774053"/>
    <w:rsid w:val="0F7E3D6E"/>
    <w:rsid w:val="0FDD8809"/>
    <w:rsid w:val="0FFA2347"/>
    <w:rsid w:val="1368878C"/>
    <w:rsid w:val="15B372AA"/>
    <w:rsid w:val="17EBB894"/>
    <w:rsid w:val="17FEBCB1"/>
    <w:rsid w:val="1AAF8291"/>
    <w:rsid w:val="1D77210A"/>
    <w:rsid w:val="1DBFCF75"/>
    <w:rsid w:val="1E7936CA"/>
    <w:rsid w:val="1EFFCAC0"/>
    <w:rsid w:val="1F6D61E1"/>
    <w:rsid w:val="1FDF7B2E"/>
    <w:rsid w:val="1FFB0503"/>
    <w:rsid w:val="21D6AAEE"/>
    <w:rsid w:val="24E7788B"/>
    <w:rsid w:val="25F60033"/>
    <w:rsid w:val="262FDE10"/>
    <w:rsid w:val="27CD39BB"/>
    <w:rsid w:val="2DFC39B3"/>
    <w:rsid w:val="2FEE3D86"/>
    <w:rsid w:val="2FEFB852"/>
    <w:rsid w:val="2FFF0910"/>
    <w:rsid w:val="33BFC216"/>
    <w:rsid w:val="33D931FE"/>
    <w:rsid w:val="33D99B23"/>
    <w:rsid w:val="344FAE63"/>
    <w:rsid w:val="36FB53E2"/>
    <w:rsid w:val="376F329E"/>
    <w:rsid w:val="37BD405F"/>
    <w:rsid w:val="37DF72BE"/>
    <w:rsid w:val="37ED665C"/>
    <w:rsid w:val="3AFE7647"/>
    <w:rsid w:val="3B6F7C4F"/>
    <w:rsid w:val="3B9FDA07"/>
    <w:rsid w:val="3BFAA3CE"/>
    <w:rsid w:val="3CEB0905"/>
    <w:rsid w:val="3DBCD48F"/>
    <w:rsid w:val="3DDD4E43"/>
    <w:rsid w:val="3DEF0E61"/>
    <w:rsid w:val="3DFFF30A"/>
    <w:rsid w:val="3E7F69D9"/>
    <w:rsid w:val="3EB0DEAC"/>
    <w:rsid w:val="3F1EA326"/>
    <w:rsid w:val="3F2B23EF"/>
    <w:rsid w:val="3F5F4F5C"/>
    <w:rsid w:val="3FBCC512"/>
    <w:rsid w:val="3FBFF840"/>
    <w:rsid w:val="43FC8854"/>
    <w:rsid w:val="45DFB29F"/>
    <w:rsid w:val="45FE7D0E"/>
    <w:rsid w:val="46BC4DB3"/>
    <w:rsid w:val="4BBFA4DA"/>
    <w:rsid w:val="4D8F9B2F"/>
    <w:rsid w:val="4FDE59BC"/>
    <w:rsid w:val="4FFDE089"/>
    <w:rsid w:val="526B3157"/>
    <w:rsid w:val="52F7619C"/>
    <w:rsid w:val="53DF38FC"/>
    <w:rsid w:val="56F7C409"/>
    <w:rsid w:val="56FEFD72"/>
    <w:rsid w:val="575DA153"/>
    <w:rsid w:val="57EC0AD5"/>
    <w:rsid w:val="57FF24D5"/>
    <w:rsid w:val="57FFC9BF"/>
    <w:rsid w:val="5B7F3E68"/>
    <w:rsid w:val="5BBAE1C9"/>
    <w:rsid w:val="5BEE5FB0"/>
    <w:rsid w:val="5BF55C17"/>
    <w:rsid w:val="5BFDDC12"/>
    <w:rsid w:val="5CEE39EA"/>
    <w:rsid w:val="5D7F05C3"/>
    <w:rsid w:val="5E979AC2"/>
    <w:rsid w:val="5EAAA2E7"/>
    <w:rsid w:val="5F535351"/>
    <w:rsid w:val="5FB6A664"/>
    <w:rsid w:val="5FBF1E51"/>
    <w:rsid w:val="5FD2BADA"/>
    <w:rsid w:val="5FFA0628"/>
    <w:rsid w:val="5FFB9AED"/>
    <w:rsid w:val="5FFC4478"/>
    <w:rsid w:val="5FFE1F94"/>
    <w:rsid w:val="60DF593A"/>
    <w:rsid w:val="63BF0D5B"/>
    <w:rsid w:val="65B632C6"/>
    <w:rsid w:val="65F77B94"/>
    <w:rsid w:val="66EECB8B"/>
    <w:rsid w:val="66FB59B0"/>
    <w:rsid w:val="677E98F6"/>
    <w:rsid w:val="67ED1C3B"/>
    <w:rsid w:val="68729C6F"/>
    <w:rsid w:val="6AF608AF"/>
    <w:rsid w:val="6B9EA134"/>
    <w:rsid w:val="6BB71CF4"/>
    <w:rsid w:val="6BEF902F"/>
    <w:rsid w:val="6CE9B20B"/>
    <w:rsid w:val="6CEE7C53"/>
    <w:rsid w:val="6D9C4D9C"/>
    <w:rsid w:val="6DBE3A92"/>
    <w:rsid w:val="6E9F9260"/>
    <w:rsid w:val="6EDAD09E"/>
    <w:rsid w:val="6EDE6783"/>
    <w:rsid w:val="6EFB743C"/>
    <w:rsid w:val="6F962ABF"/>
    <w:rsid w:val="6FBE0CF4"/>
    <w:rsid w:val="6FEBD451"/>
    <w:rsid w:val="6FED7894"/>
    <w:rsid w:val="6FFBCAA1"/>
    <w:rsid w:val="6FFF9953"/>
    <w:rsid w:val="71F51E51"/>
    <w:rsid w:val="737ECA9D"/>
    <w:rsid w:val="73FB3773"/>
    <w:rsid w:val="765FE580"/>
    <w:rsid w:val="767930E1"/>
    <w:rsid w:val="76EB3C1E"/>
    <w:rsid w:val="76FFEFEF"/>
    <w:rsid w:val="773FCD56"/>
    <w:rsid w:val="776D8219"/>
    <w:rsid w:val="777CBB9C"/>
    <w:rsid w:val="779FD2AC"/>
    <w:rsid w:val="779FE271"/>
    <w:rsid w:val="77BBBB7D"/>
    <w:rsid w:val="77DF36E9"/>
    <w:rsid w:val="77E77227"/>
    <w:rsid w:val="77EE39CF"/>
    <w:rsid w:val="77FE0CDC"/>
    <w:rsid w:val="77FF0DE8"/>
    <w:rsid w:val="77FFAF33"/>
    <w:rsid w:val="78DC2242"/>
    <w:rsid w:val="78DEDA2F"/>
    <w:rsid w:val="79F73A4C"/>
    <w:rsid w:val="79FF111C"/>
    <w:rsid w:val="79FF9EEE"/>
    <w:rsid w:val="7A2E0C95"/>
    <w:rsid w:val="7AF68335"/>
    <w:rsid w:val="7AFB02EA"/>
    <w:rsid w:val="7AFD2113"/>
    <w:rsid w:val="7AFF30E9"/>
    <w:rsid w:val="7AFFD6C2"/>
    <w:rsid w:val="7B3792B3"/>
    <w:rsid w:val="7B7F4459"/>
    <w:rsid w:val="7B957C48"/>
    <w:rsid w:val="7BDDE22E"/>
    <w:rsid w:val="7CFEB186"/>
    <w:rsid w:val="7D68F45A"/>
    <w:rsid w:val="7D7793AC"/>
    <w:rsid w:val="7D7D10DE"/>
    <w:rsid w:val="7D7F9325"/>
    <w:rsid w:val="7DBBAC17"/>
    <w:rsid w:val="7DDF3CA3"/>
    <w:rsid w:val="7DDF8DD0"/>
    <w:rsid w:val="7DEEB241"/>
    <w:rsid w:val="7DF32ECF"/>
    <w:rsid w:val="7DFE0237"/>
    <w:rsid w:val="7E1A9A32"/>
    <w:rsid w:val="7E3C8E3B"/>
    <w:rsid w:val="7E7BC8DD"/>
    <w:rsid w:val="7EB35653"/>
    <w:rsid w:val="7EC0AC9F"/>
    <w:rsid w:val="7EDF7774"/>
    <w:rsid w:val="7EEF12D1"/>
    <w:rsid w:val="7EFB2487"/>
    <w:rsid w:val="7EFE5454"/>
    <w:rsid w:val="7F3F8A99"/>
    <w:rsid w:val="7F6781DE"/>
    <w:rsid w:val="7F6EE28F"/>
    <w:rsid w:val="7F6F2F1E"/>
    <w:rsid w:val="7F7E13E2"/>
    <w:rsid w:val="7F7EE449"/>
    <w:rsid w:val="7F9F1818"/>
    <w:rsid w:val="7FAFABB2"/>
    <w:rsid w:val="7FB6CCF2"/>
    <w:rsid w:val="7FBFDB1F"/>
    <w:rsid w:val="7FBFE791"/>
    <w:rsid w:val="7FCFA31B"/>
    <w:rsid w:val="7FD6407A"/>
    <w:rsid w:val="7FD74D83"/>
    <w:rsid w:val="7FDBA43E"/>
    <w:rsid w:val="7FDBFCD2"/>
    <w:rsid w:val="7FDEDB3C"/>
    <w:rsid w:val="7FDFA931"/>
    <w:rsid w:val="7FED1910"/>
    <w:rsid w:val="7FEEA67D"/>
    <w:rsid w:val="7FEEBE04"/>
    <w:rsid w:val="7FEEFB9D"/>
    <w:rsid w:val="7FEF6058"/>
    <w:rsid w:val="7FF570B1"/>
    <w:rsid w:val="7FF68299"/>
    <w:rsid w:val="7FFD62E8"/>
    <w:rsid w:val="7FFE001F"/>
    <w:rsid w:val="7FFF5C20"/>
    <w:rsid w:val="7FFF91B8"/>
    <w:rsid w:val="7FFFA09F"/>
    <w:rsid w:val="7FFFA651"/>
    <w:rsid w:val="7FFFAC41"/>
    <w:rsid w:val="822F4C90"/>
    <w:rsid w:val="857FEFF8"/>
    <w:rsid w:val="8FDED646"/>
    <w:rsid w:val="8FE755CF"/>
    <w:rsid w:val="969F3024"/>
    <w:rsid w:val="9777AA83"/>
    <w:rsid w:val="97EE074A"/>
    <w:rsid w:val="97FF5F29"/>
    <w:rsid w:val="99CA754B"/>
    <w:rsid w:val="9D3F2093"/>
    <w:rsid w:val="9DAF8A96"/>
    <w:rsid w:val="9EBAD2D1"/>
    <w:rsid w:val="9FCFAE6D"/>
    <w:rsid w:val="9FEAE931"/>
    <w:rsid w:val="A1A79790"/>
    <w:rsid w:val="A5F3040B"/>
    <w:rsid w:val="A7BDB946"/>
    <w:rsid w:val="A7F9F532"/>
    <w:rsid w:val="AB6ED3F5"/>
    <w:rsid w:val="ABFCEBEF"/>
    <w:rsid w:val="ADCB23BE"/>
    <w:rsid w:val="AE77ED56"/>
    <w:rsid w:val="AEB9BDA1"/>
    <w:rsid w:val="AECFA18A"/>
    <w:rsid w:val="AEDF705C"/>
    <w:rsid w:val="AEFBC449"/>
    <w:rsid w:val="AF754317"/>
    <w:rsid w:val="AFB78F91"/>
    <w:rsid w:val="AFF4A1AE"/>
    <w:rsid w:val="AFF624BB"/>
    <w:rsid w:val="AFFA5543"/>
    <w:rsid w:val="AFFB42D4"/>
    <w:rsid w:val="B1AECA0B"/>
    <w:rsid w:val="B2FABB77"/>
    <w:rsid w:val="B3FD64C0"/>
    <w:rsid w:val="B5E39A4B"/>
    <w:rsid w:val="B679177B"/>
    <w:rsid w:val="B7FC6BAA"/>
    <w:rsid w:val="B9DBAD9B"/>
    <w:rsid w:val="B9F7D287"/>
    <w:rsid w:val="BA6A6CBC"/>
    <w:rsid w:val="BB7FC12E"/>
    <w:rsid w:val="BCDF9CF9"/>
    <w:rsid w:val="BDBB8D6C"/>
    <w:rsid w:val="BDC20E9A"/>
    <w:rsid w:val="BDE76AE0"/>
    <w:rsid w:val="BDE970BD"/>
    <w:rsid w:val="BDF7D62B"/>
    <w:rsid w:val="BDFF7D8C"/>
    <w:rsid w:val="BDFFC32C"/>
    <w:rsid w:val="BEFEE8C4"/>
    <w:rsid w:val="BF7A0ED0"/>
    <w:rsid w:val="BFB1931E"/>
    <w:rsid w:val="BFB7FEB3"/>
    <w:rsid w:val="BFBD350C"/>
    <w:rsid w:val="BFCDD244"/>
    <w:rsid w:val="BFD788A3"/>
    <w:rsid w:val="BFD9640D"/>
    <w:rsid w:val="BFFBE3FC"/>
    <w:rsid w:val="BFFD576C"/>
    <w:rsid w:val="BFFDCE01"/>
    <w:rsid w:val="BFFF7F41"/>
    <w:rsid w:val="C5CEB0CA"/>
    <w:rsid w:val="C7ABC2A8"/>
    <w:rsid w:val="C9EFD374"/>
    <w:rsid w:val="CBB5F729"/>
    <w:rsid w:val="CBFB9C5C"/>
    <w:rsid w:val="CC3B6333"/>
    <w:rsid w:val="CCFFD349"/>
    <w:rsid w:val="CE375953"/>
    <w:rsid w:val="CEFA8CF2"/>
    <w:rsid w:val="CF3BEFF9"/>
    <w:rsid w:val="D47953C9"/>
    <w:rsid w:val="D5FB17A3"/>
    <w:rsid w:val="D6D456F7"/>
    <w:rsid w:val="D79FA68A"/>
    <w:rsid w:val="D7D7AA59"/>
    <w:rsid w:val="DB6EEE8D"/>
    <w:rsid w:val="DB7DBBD5"/>
    <w:rsid w:val="DBBACDB3"/>
    <w:rsid w:val="DCDF8E85"/>
    <w:rsid w:val="DD5CFEAC"/>
    <w:rsid w:val="DDBF5D93"/>
    <w:rsid w:val="DDD7660C"/>
    <w:rsid w:val="DDDC71E9"/>
    <w:rsid w:val="DDE75C48"/>
    <w:rsid w:val="DDFC2C37"/>
    <w:rsid w:val="DE8515B7"/>
    <w:rsid w:val="DEB93888"/>
    <w:rsid w:val="DEBF9C61"/>
    <w:rsid w:val="DEED87A1"/>
    <w:rsid w:val="DF7D6F98"/>
    <w:rsid w:val="DF7EEEA8"/>
    <w:rsid w:val="DF9769BC"/>
    <w:rsid w:val="DFDB70AD"/>
    <w:rsid w:val="DFEE2A27"/>
    <w:rsid w:val="DFF5600C"/>
    <w:rsid w:val="E1BF8BEA"/>
    <w:rsid w:val="E2D59307"/>
    <w:rsid w:val="E74E20F0"/>
    <w:rsid w:val="E75F42C6"/>
    <w:rsid w:val="E7E4E154"/>
    <w:rsid w:val="E9DE473C"/>
    <w:rsid w:val="EAFF3CB1"/>
    <w:rsid w:val="EB7DB26A"/>
    <w:rsid w:val="EB7F6DCD"/>
    <w:rsid w:val="EBCD7028"/>
    <w:rsid w:val="ECCBE433"/>
    <w:rsid w:val="ECF74B98"/>
    <w:rsid w:val="ECFF8E85"/>
    <w:rsid w:val="EDF76E3F"/>
    <w:rsid w:val="EEB3241F"/>
    <w:rsid w:val="EEDD433D"/>
    <w:rsid w:val="EEF94023"/>
    <w:rsid w:val="EEFF32C8"/>
    <w:rsid w:val="EF6B4BB5"/>
    <w:rsid w:val="EF76DAAA"/>
    <w:rsid w:val="EF894D7B"/>
    <w:rsid w:val="EF9F0058"/>
    <w:rsid w:val="EFBEB75A"/>
    <w:rsid w:val="EFE233E7"/>
    <w:rsid w:val="EFE7F64E"/>
    <w:rsid w:val="EFEFBAFF"/>
    <w:rsid w:val="EFF7A41B"/>
    <w:rsid w:val="EFFBBE0A"/>
    <w:rsid w:val="EFFBE63D"/>
    <w:rsid w:val="EFFCA274"/>
    <w:rsid w:val="EFFF0E7B"/>
    <w:rsid w:val="F2B68CEC"/>
    <w:rsid w:val="F3C78476"/>
    <w:rsid w:val="F3EF7A4F"/>
    <w:rsid w:val="F3F55E94"/>
    <w:rsid w:val="F3F7A6D4"/>
    <w:rsid w:val="F478BEDA"/>
    <w:rsid w:val="F55CBA20"/>
    <w:rsid w:val="F56C35F7"/>
    <w:rsid w:val="F577BED1"/>
    <w:rsid w:val="F5BFC20D"/>
    <w:rsid w:val="F77FDE71"/>
    <w:rsid w:val="F79FACF0"/>
    <w:rsid w:val="F7D67D3C"/>
    <w:rsid w:val="F7FA03F7"/>
    <w:rsid w:val="F8CB2B39"/>
    <w:rsid w:val="F97C556A"/>
    <w:rsid w:val="F9BF175D"/>
    <w:rsid w:val="F9FB0D05"/>
    <w:rsid w:val="F9FEF2C7"/>
    <w:rsid w:val="FA39FEB3"/>
    <w:rsid w:val="FAAE7A90"/>
    <w:rsid w:val="FAB75252"/>
    <w:rsid w:val="FAC76833"/>
    <w:rsid w:val="FAFC8166"/>
    <w:rsid w:val="FB879E8F"/>
    <w:rsid w:val="FBD3FF21"/>
    <w:rsid w:val="FBEFF870"/>
    <w:rsid w:val="FBFEF90C"/>
    <w:rsid w:val="FBFF76BE"/>
    <w:rsid w:val="FC7F9700"/>
    <w:rsid w:val="FC98A25A"/>
    <w:rsid w:val="FCEFEE6F"/>
    <w:rsid w:val="FD177C5D"/>
    <w:rsid w:val="FD342F55"/>
    <w:rsid w:val="FD7752CB"/>
    <w:rsid w:val="FDB77CE1"/>
    <w:rsid w:val="FDD71B4E"/>
    <w:rsid w:val="FDFA7E3C"/>
    <w:rsid w:val="FDFE0A5F"/>
    <w:rsid w:val="FE67D3D6"/>
    <w:rsid w:val="FE9D5B11"/>
    <w:rsid w:val="FE9F99A8"/>
    <w:rsid w:val="FEADDFEF"/>
    <w:rsid w:val="FEDA262A"/>
    <w:rsid w:val="FEEB8173"/>
    <w:rsid w:val="FEEFFBC7"/>
    <w:rsid w:val="FEFB550D"/>
    <w:rsid w:val="FEFB7CCE"/>
    <w:rsid w:val="FEFF9E0A"/>
    <w:rsid w:val="FEFFBC2E"/>
    <w:rsid w:val="FF1297D8"/>
    <w:rsid w:val="FF3561AC"/>
    <w:rsid w:val="FF6BDC3B"/>
    <w:rsid w:val="FF6C411D"/>
    <w:rsid w:val="FF776ED7"/>
    <w:rsid w:val="FF7F45D8"/>
    <w:rsid w:val="FF863467"/>
    <w:rsid w:val="FF9B6E60"/>
    <w:rsid w:val="FF9C3A2A"/>
    <w:rsid w:val="FFB5DF91"/>
    <w:rsid w:val="FFBADFE0"/>
    <w:rsid w:val="FFCF0A7A"/>
    <w:rsid w:val="FFE754DE"/>
    <w:rsid w:val="FFE7BD44"/>
    <w:rsid w:val="FFEF67C4"/>
    <w:rsid w:val="FFF5A172"/>
    <w:rsid w:val="FFF751AF"/>
    <w:rsid w:val="FFF7A94C"/>
    <w:rsid w:val="FFF929C2"/>
    <w:rsid w:val="FFFD3A00"/>
    <w:rsid w:val="FFFDE8DB"/>
    <w:rsid w:val="FFFE1BC2"/>
    <w:rsid w:val="FFFFD1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iPriority="0" w:name="toc 7"/>
    <w:lsdException w:unhideWhenUsed="0" w:uiPriority="39" w:semiHidden="0" w:name="toc 8"/>
    <w:lsdException w:uiPriority="0" w:name="toc 9"/>
    <w:lsdException w:uiPriority="99" w:name="Normal Indent"/>
    <w:lsdException w:uiPriority="99" w:name="footnote text"/>
    <w:lsdException w:qFormat="1" w:unhideWhenUsed="0" w:uiPriority="0" w:semiHidden="0" w:name="annotation text"/>
    <w:lsdException w:unhideWhenUsed="0" w:uiPriority="0" w:semiHidden="0" w:name="header"/>
    <w:lsdException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qFormat="1" w:unhideWhenUsed="0" w:uiPriority="0"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Times New Roman" w:cs="Times New Roman"/>
      <w:szCs w:val="24"/>
      <w:lang w:val="en-US" w:eastAsia="zh-CN" w:bidi="ar-SA"/>
    </w:rPr>
  </w:style>
  <w:style w:type="paragraph" w:styleId="2">
    <w:name w:val="heading 1"/>
    <w:next w:val="1"/>
    <w:link w:val="3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Times New Roman" w:hAnsi="Times New Roman" w:eastAsia="Malgun Gothic" w:cs="Times New Roman"/>
      <w:sz w:val="36"/>
      <w:szCs w:val="36"/>
      <w:lang w:val="en-US" w:eastAsia="zh-CN" w:bidi="ar-SA"/>
    </w:rPr>
  </w:style>
  <w:style w:type="paragraph" w:styleId="3">
    <w:name w:val="heading 2"/>
    <w:basedOn w:val="2"/>
    <w:next w:val="1"/>
    <w:link w:val="36"/>
    <w:qFormat/>
    <w:uiPriority w:val="0"/>
    <w:pPr>
      <w:numPr>
        <w:ilvl w:val="1"/>
      </w:numPr>
      <w:pBdr>
        <w:top w:val="none" w:color="auto" w:sz="0" w:space="0"/>
      </w:pBdr>
      <w:spacing w:before="180"/>
      <w:outlineLvl w:val="1"/>
    </w:pPr>
    <w:rPr>
      <w:sz w:val="32"/>
      <w:szCs w:val="32"/>
    </w:rPr>
  </w:style>
  <w:style w:type="paragraph" w:styleId="4">
    <w:name w:val="heading 3"/>
    <w:basedOn w:val="3"/>
    <w:next w:val="1"/>
    <w:link w:val="37"/>
    <w:qFormat/>
    <w:uiPriority w:val="0"/>
    <w:pPr>
      <w:numPr>
        <w:ilvl w:val="2"/>
      </w:numPr>
      <w:spacing w:before="120"/>
      <w:outlineLvl w:val="2"/>
    </w:pPr>
    <w:rPr>
      <w:sz w:val="28"/>
      <w:szCs w:val="28"/>
    </w:rPr>
  </w:style>
  <w:style w:type="paragraph" w:styleId="5">
    <w:name w:val="heading 4"/>
    <w:basedOn w:val="4"/>
    <w:next w:val="1"/>
    <w:link w:val="38"/>
    <w:qFormat/>
    <w:uiPriority w:val="0"/>
    <w:pPr>
      <w:numPr>
        <w:ilvl w:val="3"/>
      </w:numPr>
      <w:outlineLvl w:val="3"/>
    </w:pPr>
    <w:rPr>
      <w:sz w:val="24"/>
      <w:szCs w:val="24"/>
    </w:rPr>
  </w:style>
  <w:style w:type="paragraph" w:styleId="6">
    <w:name w:val="heading 5"/>
    <w:basedOn w:val="5"/>
    <w:next w:val="1"/>
    <w:link w:val="39"/>
    <w:qFormat/>
    <w:uiPriority w:val="0"/>
    <w:pPr>
      <w:numPr>
        <w:ilvl w:val="4"/>
      </w:numPr>
      <w:outlineLvl w:val="4"/>
    </w:pPr>
    <w:rPr>
      <w:sz w:val="22"/>
      <w:szCs w:val="22"/>
    </w:rPr>
  </w:style>
  <w:style w:type="paragraph" w:styleId="7">
    <w:name w:val="heading 6"/>
    <w:basedOn w:val="1"/>
    <w:next w:val="1"/>
    <w:link w:val="40"/>
    <w:qFormat/>
    <w:uiPriority w:val="0"/>
    <w:pPr>
      <w:keepNext/>
      <w:keepLines/>
      <w:numPr>
        <w:ilvl w:val="5"/>
        <w:numId w:val="1"/>
      </w:numPr>
      <w:spacing w:before="120"/>
      <w:outlineLvl w:val="5"/>
    </w:pPr>
    <w:rPr>
      <w:rFonts w:cs="Arial"/>
    </w:rPr>
  </w:style>
  <w:style w:type="paragraph" w:styleId="8">
    <w:name w:val="heading 7"/>
    <w:basedOn w:val="1"/>
    <w:next w:val="1"/>
    <w:link w:val="41"/>
    <w:qFormat/>
    <w:uiPriority w:val="0"/>
    <w:pPr>
      <w:keepNext/>
      <w:keepLines/>
      <w:numPr>
        <w:ilvl w:val="6"/>
        <w:numId w:val="1"/>
      </w:numPr>
      <w:spacing w:before="120"/>
      <w:outlineLvl w:val="6"/>
    </w:pPr>
    <w:rPr>
      <w:rFonts w:cs="Arial"/>
    </w:rPr>
  </w:style>
  <w:style w:type="paragraph" w:styleId="9">
    <w:name w:val="heading 8"/>
    <w:basedOn w:val="8"/>
    <w:next w:val="1"/>
    <w:link w:val="42"/>
    <w:qFormat/>
    <w:uiPriority w:val="0"/>
    <w:pPr>
      <w:numPr>
        <w:ilvl w:val="7"/>
      </w:numPr>
      <w:outlineLvl w:val="7"/>
    </w:pPr>
  </w:style>
  <w:style w:type="paragraph" w:styleId="10">
    <w:name w:val="heading 9"/>
    <w:basedOn w:val="9"/>
    <w:next w:val="1"/>
    <w:link w:val="43"/>
    <w:qFormat/>
    <w:uiPriority w:val="0"/>
    <w:pPr>
      <w:numPr>
        <w:ilvl w:val="8"/>
      </w:numPr>
      <w:outlineLvl w:val="8"/>
    </w:p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56"/>
    <w:unhideWhenUsed/>
    <w:uiPriority w:val="0"/>
    <w:rPr>
      <w:sz w:val="18"/>
      <w:szCs w:val="18"/>
    </w:rPr>
  </w:style>
  <w:style w:type="paragraph" w:styleId="14">
    <w:name w:val="Body Text"/>
    <w:basedOn w:val="1"/>
    <w:link w:val="74"/>
    <w:uiPriority w:val="0"/>
    <w:pPr>
      <w:ind w:left="1440" w:hanging="1440"/>
      <w:jc w:val="both"/>
    </w:pPr>
    <w:rPr>
      <w:rFonts w:ascii="Times" w:hAnsi="Times" w:eastAsia="Batang"/>
      <w:lang w:val="en-GB" w:eastAsia="en-US"/>
    </w:rPr>
  </w:style>
  <w:style w:type="paragraph" w:styleId="15">
    <w:name w:val="caption"/>
    <w:basedOn w:val="1"/>
    <w:next w:val="1"/>
    <w:link w:val="52"/>
    <w:qFormat/>
    <w:uiPriority w:val="0"/>
    <w:pPr>
      <w:spacing w:after="240"/>
      <w:jc w:val="center"/>
    </w:pPr>
    <w:rPr>
      <w:b/>
      <w:bCs/>
    </w:rPr>
  </w:style>
  <w:style w:type="character" w:styleId="16">
    <w:name w:val="annotation reference"/>
    <w:qFormat/>
    <w:uiPriority w:val="0"/>
    <w:rPr>
      <w:sz w:val="21"/>
      <w:szCs w:val="21"/>
    </w:rPr>
  </w:style>
  <w:style w:type="paragraph" w:styleId="17">
    <w:name w:val="annotation text"/>
    <w:basedOn w:val="1"/>
    <w:link w:val="72"/>
    <w:qFormat/>
    <w:uiPriority w:val="0"/>
    <w:pPr>
      <w:spacing w:after="180"/>
    </w:pPr>
    <w:rPr>
      <w:rFonts w:eastAsia="宋体"/>
      <w:szCs w:val="20"/>
      <w:lang w:val="en-GB" w:eastAsia="en-US"/>
    </w:rPr>
  </w:style>
  <w:style w:type="paragraph" w:styleId="18">
    <w:name w:val="annotation subject"/>
    <w:basedOn w:val="17"/>
    <w:next w:val="17"/>
    <w:link w:val="73"/>
    <w:uiPriority w:val="0"/>
    <w:rPr>
      <w:b/>
      <w:bCs/>
    </w:rPr>
  </w:style>
  <w:style w:type="paragraph" w:styleId="19">
    <w:name w:val="Document Map"/>
    <w:basedOn w:val="1"/>
    <w:link w:val="71"/>
    <w:uiPriority w:val="0"/>
    <w:pPr>
      <w:spacing w:after="180"/>
    </w:pPr>
    <w:rPr>
      <w:rFonts w:ascii="宋体" w:eastAsia="宋体"/>
      <w:sz w:val="18"/>
      <w:szCs w:val="18"/>
      <w:lang w:val="en-GB" w:eastAsia="en-US"/>
    </w:rPr>
  </w:style>
  <w:style w:type="character" w:styleId="20">
    <w:name w:val="Emphasis"/>
    <w:qFormat/>
    <w:uiPriority w:val="20"/>
    <w:rPr>
      <w:i/>
      <w:iCs/>
    </w:rPr>
  </w:style>
  <w:style w:type="paragraph" w:styleId="21">
    <w:name w:val="footer"/>
    <w:basedOn w:val="22"/>
    <w:link w:val="58"/>
    <w:uiPriority w:val="0"/>
    <w:pPr>
      <w:jc w:val="center"/>
    </w:pPr>
    <w:rPr>
      <w:i/>
    </w:rPr>
  </w:style>
  <w:style w:type="paragraph" w:styleId="22">
    <w:name w:val="header"/>
    <w:basedOn w:val="1"/>
    <w:link w:val="57"/>
    <w:uiPriority w:val="0"/>
    <w:pPr>
      <w:widowControl w:val="0"/>
      <w:overflowPunct w:val="0"/>
      <w:autoSpaceDE w:val="0"/>
      <w:autoSpaceDN w:val="0"/>
      <w:adjustRightInd w:val="0"/>
      <w:textAlignment w:val="baseline"/>
    </w:pPr>
    <w:rPr>
      <w:rFonts w:ascii="Arial" w:hAnsi="Arial" w:eastAsia="宋体"/>
      <w:b/>
      <w:sz w:val="18"/>
      <w:szCs w:val="20"/>
      <w:lang w:val="en-GB" w:eastAsia="ja-JP"/>
    </w:rPr>
  </w:style>
  <w:style w:type="character" w:styleId="23">
    <w:name w:val="Hyperlink"/>
    <w:qFormat/>
    <w:uiPriority w:val="99"/>
    <w:rPr>
      <w:color w:val="0000FF"/>
      <w:u w:val="single"/>
    </w:rPr>
  </w:style>
  <w:style w:type="paragraph" w:styleId="24">
    <w:name w:val="List"/>
    <w:basedOn w:val="1"/>
    <w:unhideWhenUsed/>
    <w:uiPriority w:val="99"/>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25">
    <w:name w:val="Normal (Web)"/>
    <w:basedOn w:val="1"/>
    <w:semiHidden/>
    <w:unhideWhenUsed/>
    <w:uiPriority w:val="99"/>
  </w:style>
  <w:style w:type="character" w:styleId="26">
    <w:name w:val="Strong"/>
    <w:qFormat/>
    <w:uiPriority w:val="22"/>
    <w:rPr>
      <w:b/>
      <w:bCs/>
    </w:rPr>
  </w:style>
  <w:style w:type="table" w:styleId="27">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8">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9">
    <w:name w:val="toc 2"/>
    <w:basedOn w:val="28"/>
    <w:next w:val="1"/>
    <w:uiPriority w:val="39"/>
    <w:pPr>
      <w:keepNext w:val="0"/>
      <w:spacing w:before="0"/>
      <w:ind w:left="851" w:hanging="851"/>
    </w:pPr>
    <w:rPr>
      <w:sz w:val="20"/>
    </w:rPr>
  </w:style>
  <w:style w:type="paragraph" w:styleId="30">
    <w:name w:val="toc 3"/>
    <w:basedOn w:val="29"/>
    <w:next w:val="1"/>
    <w:uiPriority w:val="39"/>
    <w:pPr>
      <w:ind w:left="1134" w:hanging="1134"/>
    </w:pPr>
  </w:style>
  <w:style w:type="paragraph" w:styleId="31">
    <w:name w:val="toc 4"/>
    <w:basedOn w:val="30"/>
    <w:next w:val="1"/>
    <w:uiPriority w:val="39"/>
    <w:pPr>
      <w:ind w:left="1418" w:hanging="1418"/>
    </w:pPr>
  </w:style>
  <w:style w:type="paragraph" w:styleId="32">
    <w:name w:val="toc 5"/>
    <w:basedOn w:val="31"/>
    <w:next w:val="1"/>
    <w:uiPriority w:val="39"/>
    <w:pPr>
      <w:ind w:left="1701" w:hanging="1701"/>
    </w:pPr>
  </w:style>
  <w:style w:type="paragraph" w:styleId="33">
    <w:name w:val="toc 6"/>
    <w:basedOn w:val="32"/>
    <w:next w:val="1"/>
    <w:uiPriority w:val="39"/>
    <w:pPr>
      <w:ind w:left="1985" w:hanging="1985"/>
    </w:pPr>
  </w:style>
  <w:style w:type="paragraph" w:styleId="34">
    <w:name w:val="toc 8"/>
    <w:basedOn w:val="28"/>
    <w:next w:val="1"/>
    <w:uiPriority w:val="39"/>
    <w:pPr>
      <w:spacing w:before="180"/>
      <w:ind w:left="2693" w:hanging="2693"/>
    </w:pPr>
    <w:rPr>
      <w:b/>
    </w:rPr>
  </w:style>
  <w:style w:type="character" w:customStyle="1" w:styleId="35">
    <w:name w:val="Heading 1 Char"/>
    <w:basedOn w:val="11"/>
    <w:link w:val="2"/>
    <w:uiPriority w:val="0"/>
    <w:rPr>
      <w:rFonts w:ascii="Times New Roman" w:hAnsi="Times New Roman" w:eastAsia="Malgun Gothic" w:cs="Times New Roman"/>
      <w:sz w:val="36"/>
      <w:szCs w:val="36"/>
    </w:rPr>
  </w:style>
  <w:style w:type="character" w:customStyle="1" w:styleId="36">
    <w:name w:val="Heading 2 Char"/>
    <w:basedOn w:val="11"/>
    <w:link w:val="3"/>
    <w:uiPriority w:val="0"/>
    <w:rPr>
      <w:rFonts w:ascii="Times New Roman" w:hAnsi="Times New Roman" w:eastAsia="Malgun Gothic" w:cs="Times New Roman"/>
      <w:sz w:val="32"/>
      <w:szCs w:val="32"/>
    </w:rPr>
  </w:style>
  <w:style w:type="character" w:customStyle="1" w:styleId="37">
    <w:name w:val="Heading 3 Char"/>
    <w:basedOn w:val="11"/>
    <w:link w:val="4"/>
    <w:uiPriority w:val="0"/>
    <w:rPr>
      <w:rFonts w:ascii="Times New Roman" w:hAnsi="Times New Roman" w:eastAsia="Malgun Gothic" w:cs="Times New Roman"/>
      <w:sz w:val="28"/>
      <w:szCs w:val="28"/>
    </w:rPr>
  </w:style>
  <w:style w:type="character" w:customStyle="1" w:styleId="38">
    <w:name w:val="Heading 4 Char"/>
    <w:basedOn w:val="11"/>
    <w:link w:val="5"/>
    <w:uiPriority w:val="0"/>
    <w:rPr>
      <w:rFonts w:ascii="Times New Roman" w:hAnsi="Times New Roman" w:eastAsia="Malgun Gothic" w:cs="Times New Roman"/>
    </w:rPr>
  </w:style>
  <w:style w:type="character" w:customStyle="1" w:styleId="39">
    <w:name w:val="Heading 5 Char"/>
    <w:basedOn w:val="11"/>
    <w:link w:val="6"/>
    <w:uiPriority w:val="0"/>
    <w:rPr>
      <w:rFonts w:ascii="Times New Roman" w:hAnsi="Times New Roman" w:eastAsia="Malgun Gothic" w:cs="Times New Roman"/>
      <w:sz w:val="22"/>
      <w:szCs w:val="22"/>
    </w:rPr>
  </w:style>
  <w:style w:type="character" w:customStyle="1" w:styleId="40">
    <w:name w:val="Heading 6 Char"/>
    <w:basedOn w:val="11"/>
    <w:link w:val="7"/>
    <w:uiPriority w:val="0"/>
    <w:rPr>
      <w:rFonts w:ascii="Times New Roman" w:hAnsi="Times New Roman" w:eastAsia="Times New Roman" w:cs="Arial"/>
    </w:rPr>
  </w:style>
  <w:style w:type="character" w:customStyle="1" w:styleId="41">
    <w:name w:val="Heading 7 Char"/>
    <w:basedOn w:val="11"/>
    <w:link w:val="8"/>
    <w:uiPriority w:val="0"/>
    <w:rPr>
      <w:rFonts w:ascii="Times New Roman" w:hAnsi="Times New Roman" w:eastAsia="Times New Roman" w:cs="Arial"/>
    </w:rPr>
  </w:style>
  <w:style w:type="character" w:customStyle="1" w:styleId="42">
    <w:name w:val="Heading 8 Char"/>
    <w:basedOn w:val="11"/>
    <w:link w:val="9"/>
    <w:uiPriority w:val="0"/>
    <w:rPr>
      <w:rFonts w:ascii="Times New Roman" w:hAnsi="Times New Roman" w:eastAsia="Times New Roman" w:cs="Arial"/>
    </w:rPr>
  </w:style>
  <w:style w:type="character" w:customStyle="1" w:styleId="43">
    <w:name w:val="Heading 9 Char"/>
    <w:basedOn w:val="11"/>
    <w:link w:val="10"/>
    <w:uiPriority w:val="0"/>
    <w:rPr>
      <w:rFonts w:ascii="Times New Roman" w:hAnsi="Times New Roman" w:eastAsia="Times New Roman" w:cs="Arial"/>
    </w:rPr>
  </w:style>
  <w:style w:type="paragraph" w:customStyle="1" w:styleId="44">
    <w:name w:val="3GPP_Header"/>
    <w:basedOn w:val="1"/>
    <w:uiPriority w:val="0"/>
    <w:pPr>
      <w:tabs>
        <w:tab w:val="left" w:pos="1701"/>
        <w:tab w:val="right" w:pos="9639"/>
      </w:tabs>
      <w:spacing w:after="240"/>
    </w:pPr>
    <w:rPr>
      <w:b/>
    </w:rPr>
  </w:style>
  <w:style w:type="paragraph" w:customStyle="1" w:styleId="45">
    <w:name w:val="0 Main text"/>
    <w:basedOn w:val="1"/>
    <w:link w:val="46"/>
    <w:qFormat/>
    <w:uiPriority w:val="0"/>
    <w:pPr>
      <w:numPr>
        <w:ilvl w:val="0"/>
        <w:numId w:val="2"/>
      </w:numPr>
      <w:tabs>
        <w:tab w:val="left" w:pos="810"/>
      </w:tabs>
      <w:spacing w:afterLines="50"/>
      <w:ind w:left="442" w:hanging="442"/>
      <w:jc w:val="both"/>
    </w:pPr>
    <w:rPr>
      <w:rFonts w:cs="Batang"/>
      <w:szCs w:val="20"/>
      <w:lang w:val="en-GB" w:eastAsia="en-US"/>
    </w:rPr>
  </w:style>
  <w:style w:type="character" w:customStyle="1" w:styleId="46">
    <w:name w:val="0 Main text Char"/>
    <w:basedOn w:val="11"/>
    <w:link w:val="45"/>
    <w:uiPriority w:val="0"/>
    <w:rPr>
      <w:rFonts w:ascii="Times New Roman" w:hAnsi="Times New Roman" w:eastAsia="Times New Roman" w:cs="Batang"/>
      <w:sz w:val="20"/>
      <w:szCs w:val="20"/>
      <w:lang w:val="en-GB" w:eastAsia="en-US"/>
    </w:rPr>
  </w:style>
  <w:style w:type="paragraph" w:styleId="47">
    <w:name w:val="List Paragraph"/>
    <w:basedOn w:val="1"/>
    <w:link w:val="48"/>
    <w:qFormat/>
    <w:uiPriority w:val="34"/>
    <w:pPr>
      <w:ind w:left="840" w:leftChars="400" w:hanging="720"/>
    </w:pPr>
    <w:rPr>
      <w:rFonts w:ascii="Times" w:hAnsi="Times" w:eastAsia="Batang"/>
      <w:lang w:val="en-GB"/>
    </w:rPr>
  </w:style>
  <w:style w:type="character" w:customStyle="1" w:styleId="48">
    <w:name w:val="List Paragraph Char"/>
    <w:link w:val="47"/>
    <w:qFormat/>
    <w:uiPriority w:val="34"/>
    <w:rPr>
      <w:rFonts w:ascii="Times" w:hAnsi="Times" w:eastAsia="Batang" w:cs="Times New Roman"/>
      <w:sz w:val="20"/>
      <w:lang w:val="en-GB" w:eastAsia="zh-CN"/>
    </w:rPr>
  </w:style>
  <w:style w:type="paragraph" w:customStyle="1" w:styleId="49">
    <w:name w:val="LGTdoc_본문"/>
    <w:basedOn w:val="1"/>
    <w:link w:val="50"/>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50">
    <w:name w:val="LGTdoc_본문 Char"/>
    <w:link w:val="49"/>
    <w:qFormat/>
    <w:uiPriority w:val="0"/>
    <w:rPr>
      <w:rFonts w:ascii="Times New Roman" w:hAnsi="Times New Roman" w:eastAsia="Batang" w:cs="Times New Roman"/>
      <w:kern w:val="2"/>
      <w:sz w:val="22"/>
      <w:lang w:val="en-GB" w:eastAsia="ko-KR"/>
    </w:rPr>
  </w:style>
  <w:style w:type="character" w:styleId="51">
    <w:name w:val="Placeholder Text"/>
    <w:basedOn w:val="11"/>
    <w:semiHidden/>
    <w:uiPriority w:val="99"/>
    <w:rPr>
      <w:color w:val="808080"/>
    </w:rPr>
  </w:style>
  <w:style w:type="character" w:customStyle="1" w:styleId="52">
    <w:name w:val="Caption Char"/>
    <w:link w:val="15"/>
    <w:locked/>
    <w:uiPriority w:val="0"/>
    <w:rPr>
      <w:rFonts w:ascii="Times New Roman" w:hAnsi="Times New Roman" w:eastAsia="Malgun Gothic" w:cs="Times New Roman"/>
      <w:b/>
      <w:bCs/>
    </w:rPr>
  </w:style>
  <w:style w:type="paragraph" w:customStyle="1" w:styleId="53">
    <w:name w:val="Proposal"/>
    <w:basedOn w:val="1"/>
    <w:uiPriority w:val="0"/>
    <w:pPr>
      <w:tabs>
        <w:tab w:val="left" w:pos="1701"/>
      </w:tabs>
      <w:spacing w:after="180"/>
      <w:ind w:left="1701" w:hanging="1701"/>
    </w:pPr>
    <w:rPr>
      <w:b/>
      <w:szCs w:val="20"/>
      <w:lang w:val="en-GB" w:eastAsia="en-US"/>
    </w:rPr>
  </w:style>
  <w:style w:type="paragraph" w:customStyle="1" w:styleId="54">
    <w:name w:val="0maintext"/>
    <w:basedOn w:val="1"/>
    <w:uiPriority w:val="0"/>
    <w:pPr>
      <w:spacing w:before="100" w:beforeAutospacing="1" w:after="100" w:afterAutospacing="1"/>
    </w:pPr>
  </w:style>
  <w:style w:type="character" w:customStyle="1" w:styleId="55">
    <w:name w:val="apple-converted-space"/>
    <w:basedOn w:val="11"/>
    <w:uiPriority w:val="0"/>
  </w:style>
  <w:style w:type="character" w:customStyle="1" w:styleId="56">
    <w:name w:val="Balloon Text Char"/>
    <w:basedOn w:val="11"/>
    <w:link w:val="13"/>
    <w:uiPriority w:val="0"/>
    <w:rPr>
      <w:rFonts w:ascii="Times New Roman" w:hAnsi="Times New Roman" w:eastAsia="Times New Roman" w:cs="Times New Roman"/>
      <w:sz w:val="18"/>
      <w:szCs w:val="18"/>
    </w:rPr>
  </w:style>
  <w:style w:type="character" w:customStyle="1" w:styleId="57">
    <w:name w:val="Header Char"/>
    <w:basedOn w:val="11"/>
    <w:link w:val="22"/>
    <w:uiPriority w:val="0"/>
    <w:rPr>
      <w:rFonts w:ascii="Arial" w:hAnsi="Arial" w:eastAsia="宋体" w:cs="Times New Roman"/>
      <w:b/>
      <w:sz w:val="18"/>
      <w:szCs w:val="20"/>
      <w:lang w:val="en-GB" w:eastAsia="ja-JP"/>
    </w:rPr>
  </w:style>
  <w:style w:type="character" w:customStyle="1" w:styleId="58">
    <w:name w:val="Footer Char"/>
    <w:basedOn w:val="11"/>
    <w:link w:val="21"/>
    <w:uiPriority w:val="0"/>
    <w:rPr>
      <w:rFonts w:ascii="Arial" w:hAnsi="Arial" w:eastAsia="宋体" w:cs="Times New Roman"/>
      <w:b/>
      <w:i/>
      <w:sz w:val="18"/>
      <w:szCs w:val="20"/>
      <w:lang w:val="en-GB" w:eastAsia="ja-JP"/>
    </w:rPr>
  </w:style>
  <w:style w:type="paragraph" w:customStyle="1" w:styleId="59">
    <w:name w:val="TAL"/>
    <w:basedOn w:val="1"/>
    <w:link w:val="60"/>
    <w:uiPriority w:val="0"/>
    <w:pPr>
      <w:keepNext/>
      <w:keepLines/>
    </w:pPr>
    <w:rPr>
      <w:rFonts w:ascii="Arial" w:hAnsi="Arial" w:eastAsia="宋体"/>
      <w:sz w:val="18"/>
      <w:szCs w:val="20"/>
      <w:lang w:val="en-GB" w:eastAsia="en-US"/>
    </w:rPr>
  </w:style>
  <w:style w:type="character" w:customStyle="1" w:styleId="60">
    <w:name w:val="TAL Car"/>
    <w:link w:val="59"/>
    <w:uiPriority w:val="0"/>
    <w:rPr>
      <w:rFonts w:ascii="Arial" w:hAnsi="Arial" w:eastAsia="宋体" w:cs="Times New Roman"/>
      <w:sz w:val="18"/>
      <w:szCs w:val="20"/>
      <w:lang w:val="en-GB" w:eastAsia="en-US"/>
    </w:rPr>
  </w:style>
  <w:style w:type="paragraph" w:customStyle="1" w:styleId="61">
    <w:name w:val="TAH"/>
    <w:basedOn w:val="62"/>
    <w:link w:val="64"/>
    <w:qFormat/>
    <w:uiPriority w:val="0"/>
    <w:rPr>
      <w:b/>
    </w:rPr>
  </w:style>
  <w:style w:type="paragraph" w:customStyle="1" w:styleId="62">
    <w:name w:val="TAC"/>
    <w:basedOn w:val="59"/>
    <w:link w:val="63"/>
    <w:qFormat/>
    <w:uiPriority w:val="0"/>
    <w:pPr>
      <w:jc w:val="center"/>
    </w:pPr>
  </w:style>
  <w:style w:type="character" w:customStyle="1" w:styleId="63">
    <w:name w:val="TAC Char"/>
    <w:link w:val="62"/>
    <w:qFormat/>
    <w:uiPriority w:val="0"/>
    <w:rPr>
      <w:rFonts w:ascii="Arial" w:hAnsi="Arial" w:eastAsia="宋体" w:cs="Times New Roman"/>
      <w:sz w:val="18"/>
      <w:szCs w:val="20"/>
      <w:lang w:val="en-GB" w:eastAsia="en-US"/>
    </w:rPr>
  </w:style>
  <w:style w:type="character" w:customStyle="1" w:styleId="64">
    <w:name w:val="TAH Car"/>
    <w:link w:val="61"/>
    <w:qFormat/>
    <w:uiPriority w:val="0"/>
    <w:rPr>
      <w:rFonts w:ascii="Arial" w:hAnsi="Arial" w:eastAsia="宋体" w:cs="Times New Roman"/>
      <w:b/>
      <w:sz w:val="18"/>
      <w:szCs w:val="20"/>
      <w:lang w:val="en-GB" w:eastAsia="en-US"/>
    </w:rPr>
  </w:style>
  <w:style w:type="paragraph" w:customStyle="1" w:styleId="65">
    <w:name w:val="B1"/>
    <w:basedOn w:val="24"/>
    <w:link w:val="66"/>
    <w:qFormat/>
    <w:uiPriority w:val="0"/>
    <w:pPr>
      <w:spacing w:after="180"/>
      <w:ind w:left="568" w:hanging="284"/>
    </w:pPr>
    <w:rPr>
      <w:rFonts w:eastAsia="宋体"/>
      <w:lang w:val="en-GB" w:eastAsia="en-US"/>
    </w:rPr>
  </w:style>
  <w:style w:type="character" w:customStyle="1" w:styleId="66">
    <w:name w:val="B1 Char1"/>
    <w:link w:val="65"/>
    <w:uiPriority w:val="0"/>
    <w:rPr>
      <w:rFonts w:ascii="Times New Roman" w:hAnsi="Times New Roman" w:eastAsia="宋体" w:cs="Times New Roman"/>
      <w:sz w:val="20"/>
      <w:szCs w:val="20"/>
      <w:lang w:val="en-GB" w:eastAsia="en-US"/>
    </w:rPr>
  </w:style>
  <w:style w:type="paragraph" w:customStyle="1" w:styleId="67">
    <w:name w:val="TH"/>
    <w:basedOn w:val="1"/>
    <w:link w:val="68"/>
    <w:qFormat/>
    <w:uiPriority w:val="0"/>
    <w:pPr>
      <w:keepNext/>
      <w:keepLines/>
      <w:spacing w:before="60" w:after="180"/>
      <w:jc w:val="center"/>
    </w:pPr>
    <w:rPr>
      <w:rFonts w:ascii="Arial" w:hAnsi="Arial" w:eastAsia="宋体"/>
      <w:b/>
      <w:szCs w:val="20"/>
      <w:lang w:val="en-GB" w:eastAsia="en-US"/>
    </w:rPr>
  </w:style>
  <w:style w:type="character" w:customStyle="1" w:styleId="68">
    <w:name w:val="TH Char"/>
    <w:link w:val="67"/>
    <w:qFormat/>
    <w:uiPriority w:val="0"/>
    <w:rPr>
      <w:rFonts w:ascii="Arial" w:hAnsi="Arial" w:eastAsia="宋体" w:cs="Times New Roman"/>
      <w:b/>
      <w:sz w:val="20"/>
      <w:szCs w:val="20"/>
      <w:lang w:val="en-GB" w:eastAsia="en-US"/>
    </w:rPr>
  </w:style>
  <w:style w:type="paragraph" w:customStyle="1" w:styleId="69">
    <w:name w:val="B2"/>
    <w:basedOn w:val="1"/>
    <w:link w:val="70"/>
    <w:uiPriority w:val="0"/>
    <w:pPr>
      <w:spacing w:after="180"/>
      <w:ind w:left="851" w:hanging="284"/>
    </w:pPr>
    <w:rPr>
      <w:rFonts w:eastAsia="宋体"/>
      <w:szCs w:val="20"/>
      <w:lang w:val="en-GB" w:eastAsia="en-US"/>
    </w:rPr>
  </w:style>
  <w:style w:type="character" w:customStyle="1" w:styleId="70">
    <w:name w:val="B2 Char"/>
    <w:link w:val="69"/>
    <w:locked/>
    <w:uiPriority w:val="0"/>
    <w:rPr>
      <w:rFonts w:ascii="Times New Roman" w:hAnsi="Times New Roman" w:eastAsia="宋体" w:cs="Times New Roman"/>
      <w:sz w:val="20"/>
      <w:szCs w:val="20"/>
      <w:lang w:val="en-GB" w:eastAsia="en-US"/>
    </w:rPr>
  </w:style>
  <w:style w:type="character" w:customStyle="1" w:styleId="71">
    <w:name w:val="Document Map Char"/>
    <w:basedOn w:val="11"/>
    <w:link w:val="19"/>
    <w:uiPriority w:val="0"/>
    <w:rPr>
      <w:rFonts w:ascii="宋体" w:hAnsi="Times New Roman" w:eastAsia="宋体" w:cs="Times New Roman"/>
      <w:sz w:val="18"/>
      <w:szCs w:val="18"/>
      <w:lang w:val="en-GB" w:eastAsia="en-US"/>
    </w:rPr>
  </w:style>
  <w:style w:type="character" w:customStyle="1" w:styleId="72">
    <w:name w:val="Comment Text Char"/>
    <w:basedOn w:val="11"/>
    <w:link w:val="17"/>
    <w:qFormat/>
    <w:uiPriority w:val="0"/>
    <w:rPr>
      <w:rFonts w:ascii="Times New Roman" w:hAnsi="Times New Roman" w:eastAsia="宋体" w:cs="Times New Roman"/>
      <w:sz w:val="20"/>
      <w:szCs w:val="20"/>
      <w:lang w:val="en-GB" w:eastAsia="en-US"/>
    </w:rPr>
  </w:style>
  <w:style w:type="character" w:customStyle="1" w:styleId="73">
    <w:name w:val="Comment Subject Char"/>
    <w:basedOn w:val="72"/>
    <w:link w:val="18"/>
    <w:uiPriority w:val="0"/>
    <w:rPr>
      <w:rFonts w:ascii="Times New Roman" w:hAnsi="Times New Roman" w:eastAsia="宋体" w:cs="Times New Roman"/>
      <w:b/>
      <w:bCs/>
      <w:sz w:val="20"/>
      <w:szCs w:val="20"/>
      <w:lang w:val="en-GB" w:eastAsia="en-US"/>
    </w:rPr>
  </w:style>
  <w:style w:type="character" w:customStyle="1" w:styleId="74">
    <w:name w:val="Body Text Char"/>
    <w:basedOn w:val="11"/>
    <w:link w:val="14"/>
    <w:uiPriority w:val="0"/>
    <w:rPr>
      <w:rFonts w:ascii="Times" w:hAnsi="Times" w:eastAsia="Batang" w:cs="Times New Roman"/>
      <w:sz w:val="20"/>
      <w:lang w:val="en-GB" w:eastAsia="en-US"/>
    </w:rPr>
  </w:style>
  <w:style w:type="paragraph" w:customStyle="1" w:styleId="75">
    <w:name w:val="H6"/>
    <w:basedOn w:val="6"/>
    <w:next w:val="1"/>
    <w:uiPriority w:val="0"/>
    <w:pPr>
      <w:numPr>
        <w:ilvl w:val="0"/>
        <w:numId w:val="0"/>
      </w:numPr>
      <w:overflowPunct/>
      <w:autoSpaceDE/>
      <w:autoSpaceDN/>
      <w:adjustRightInd/>
      <w:ind w:left="1985" w:hanging="1985"/>
      <w:textAlignment w:val="auto"/>
      <w:outlineLvl w:val="9"/>
    </w:pPr>
    <w:rPr>
      <w:rFonts w:ascii="Arial" w:hAnsi="Arial" w:eastAsia="宋体"/>
      <w:sz w:val="20"/>
      <w:szCs w:val="20"/>
      <w:lang w:val="en-GB" w:eastAsia="en-US"/>
    </w:rPr>
  </w:style>
  <w:style w:type="paragraph" w:customStyle="1" w:styleId="76">
    <w:name w:val="EQ"/>
    <w:basedOn w:val="1"/>
    <w:next w:val="1"/>
    <w:uiPriority w:val="0"/>
    <w:pPr>
      <w:keepLines/>
      <w:tabs>
        <w:tab w:val="center" w:pos="4536"/>
        <w:tab w:val="right" w:pos="9072"/>
      </w:tabs>
      <w:spacing w:after="180"/>
    </w:pPr>
    <w:rPr>
      <w:rFonts w:eastAsia="宋体"/>
      <w:szCs w:val="20"/>
      <w:lang w:val="en-GB" w:eastAsia="en-US"/>
    </w:rPr>
  </w:style>
  <w:style w:type="character" w:customStyle="1" w:styleId="77">
    <w:name w:val="ZGSM"/>
    <w:uiPriority w:val="0"/>
  </w:style>
  <w:style w:type="paragraph" w:customStyle="1" w:styleId="7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TT"/>
    <w:basedOn w:val="2"/>
    <w:next w:val="1"/>
    <w:uiPriority w:val="0"/>
    <w:pPr>
      <w:numPr>
        <w:numId w:val="0"/>
      </w:numPr>
      <w:overflowPunct/>
      <w:autoSpaceDE/>
      <w:autoSpaceDN/>
      <w:adjustRightInd/>
      <w:ind w:left="1134" w:hanging="1134"/>
      <w:textAlignment w:val="auto"/>
      <w:outlineLvl w:val="9"/>
    </w:pPr>
    <w:rPr>
      <w:rFonts w:ascii="Arial" w:hAnsi="Arial" w:eastAsia="宋体"/>
      <w:szCs w:val="20"/>
      <w:lang w:val="en-GB" w:eastAsia="en-US"/>
    </w:rPr>
  </w:style>
  <w:style w:type="paragraph" w:customStyle="1" w:styleId="80">
    <w:name w:val="NF"/>
    <w:basedOn w:val="81"/>
    <w:uiPriority w:val="0"/>
    <w:pPr>
      <w:keepNext/>
      <w:spacing w:after="0"/>
    </w:pPr>
    <w:rPr>
      <w:rFonts w:ascii="Arial" w:hAnsi="Arial"/>
      <w:sz w:val="18"/>
    </w:rPr>
  </w:style>
  <w:style w:type="paragraph" w:customStyle="1" w:styleId="81">
    <w:name w:val="NO"/>
    <w:basedOn w:val="1"/>
    <w:uiPriority w:val="0"/>
    <w:pPr>
      <w:keepLines/>
      <w:spacing w:after="180"/>
      <w:ind w:left="1135" w:hanging="851"/>
    </w:pPr>
    <w:rPr>
      <w:rFonts w:eastAsia="宋体"/>
      <w:szCs w:val="20"/>
      <w:lang w:val="en-GB" w:eastAsia="en-US"/>
    </w:rPr>
  </w:style>
  <w:style w:type="paragraph" w:customStyle="1" w:styleId="82">
    <w:name w:val="PL"/>
    <w:link w:val="10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3">
    <w:name w:val="TAR"/>
    <w:basedOn w:val="59"/>
    <w:uiPriority w:val="0"/>
    <w:pPr>
      <w:jc w:val="right"/>
    </w:pPr>
  </w:style>
  <w:style w:type="paragraph" w:customStyle="1" w:styleId="84">
    <w:name w:val="LD"/>
    <w:uiPriority w:val="0"/>
    <w:pPr>
      <w:keepNext/>
      <w:keepLines/>
      <w:spacing w:line="180" w:lineRule="exact"/>
    </w:pPr>
    <w:rPr>
      <w:rFonts w:ascii="Courier New" w:hAnsi="Courier New" w:eastAsia="宋体" w:cs="Times New Roman"/>
      <w:lang w:val="en-GB" w:eastAsia="en-US" w:bidi="ar-SA"/>
    </w:rPr>
  </w:style>
  <w:style w:type="paragraph" w:customStyle="1" w:styleId="85">
    <w:name w:val="EX"/>
    <w:basedOn w:val="1"/>
    <w:uiPriority w:val="0"/>
    <w:pPr>
      <w:keepLines/>
      <w:spacing w:after="180"/>
      <w:ind w:left="1702" w:hanging="1418"/>
    </w:pPr>
    <w:rPr>
      <w:rFonts w:eastAsia="宋体"/>
      <w:szCs w:val="20"/>
      <w:lang w:val="en-GB" w:eastAsia="en-US"/>
    </w:rPr>
  </w:style>
  <w:style w:type="paragraph" w:customStyle="1" w:styleId="86">
    <w:name w:val="FP"/>
    <w:basedOn w:val="1"/>
    <w:uiPriority w:val="0"/>
    <w:rPr>
      <w:rFonts w:eastAsia="宋体"/>
      <w:szCs w:val="20"/>
      <w:lang w:val="en-GB" w:eastAsia="en-US"/>
    </w:rPr>
  </w:style>
  <w:style w:type="paragraph" w:customStyle="1" w:styleId="87">
    <w:name w:val="NW"/>
    <w:basedOn w:val="81"/>
    <w:uiPriority w:val="0"/>
    <w:pPr>
      <w:spacing w:after="0"/>
    </w:pPr>
  </w:style>
  <w:style w:type="paragraph" w:customStyle="1" w:styleId="88">
    <w:name w:val="EW"/>
    <w:basedOn w:val="85"/>
    <w:uiPriority w:val="0"/>
    <w:pPr>
      <w:spacing w:after="0"/>
    </w:pPr>
  </w:style>
  <w:style w:type="paragraph" w:customStyle="1" w:styleId="89">
    <w:name w:val="Editor's Note"/>
    <w:basedOn w:val="81"/>
    <w:uiPriority w:val="0"/>
    <w:rPr>
      <w:color w:val="FF0000"/>
    </w:rPr>
  </w:style>
  <w:style w:type="paragraph" w:customStyle="1" w:styleId="90">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TAN"/>
    <w:basedOn w:val="59"/>
    <w:uiPriority w:val="0"/>
    <w:pPr>
      <w:ind w:left="851" w:hanging="851"/>
    </w:pPr>
  </w:style>
  <w:style w:type="paragraph" w:customStyle="1" w:styleId="95">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6">
    <w:name w:val="TF"/>
    <w:basedOn w:val="67"/>
    <w:uiPriority w:val="0"/>
    <w:pPr>
      <w:keepNext w:val="0"/>
      <w:spacing w:before="0" w:after="240"/>
    </w:pPr>
  </w:style>
  <w:style w:type="paragraph" w:customStyle="1" w:styleId="97">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B3"/>
    <w:basedOn w:val="1"/>
    <w:uiPriority w:val="0"/>
    <w:pPr>
      <w:spacing w:after="180"/>
      <w:ind w:left="1135" w:hanging="284"/>
    </w:pPr>
    <w:rPr>
      <w:rFonts w:eastAsia="宋体"/>
      <w:szCs w:val="20"/>
      <w:lang w:val="en-GB" w:eastAsia="en-US"/>
    </w:rPr>
  </w:style>
  <w:style w:type="paragraph" w:customStyle="1" w:styleId="99">
    <w:name w:val="B4"/>
    <w:basedOn w:val="1"/>
    <w:uiPriority w:val="0"/>
    <w:pPr>
      <w:spacing w:after="180"/>
      <w:ind w:left="1418" w:hanging="284"/>
    </w:pPr>
    <w:rPr>
      <w:rFonts w:eastAsia="宋体"/>
      <w:szCs w:val="20"/>
      <w:lang w:val="en-GB" w:eastAsia="en-US"/>
    </w:rPr>
  </w:style>
  <w:style w:type="paragraph" w:customStyle="1" w:styleId="100">
    <w:name w:val="B5"/>
    <w:basedOn w:val="1"/>
    <w:uiPriority w:val="0"/>
    <w:pPr>
      <w:spacing w:after="180"/>
      <w:ind w:left="1702" w:hanging="284"/>
    </w:pPr>
    <w:rPr>
      <w:rFonts w:eastAsia="宋体"/>
      <w:szCs w:val="20"/>
      <w:lang w:val="en-GB" w:eastAsia="en-US"/>
    </w:rPr>
  </w:style>
  <w:style w:type="paragraph" w:customStyle="1" w:styleId="101">
    <w:name w:val="ZTD"/>
    <w:basedOn w:val="91"/>
    <w:uiPriority w:val="0"/>
    <w:pPr>
      <w:framePr w:hRule="auto" w:y="852"/>
    </w:pPr>
    <w:rPr>
      <w:i w:val="0"/>
      <w:sz w:val="40"/>
    </w:rPr>
  </w:style>
  <w:style w:type="paragraph" w:customStyle="1" w:styleId="102">
    <w:name w:val="ZV"/>
    <w:basedOn w:val="93"/>
    <w:uiPriority w:val="0"/>
    <w:pPr>
      <w:framePr w:y="16161"/>
    </w:pPr>
  </w:style>
  <w:style w:type="paragraph" w:customStyle="1" w:styleId="103">
    <w:name w:val="TAJ"/>
    <w:basedOn w:val="67"/>
    <w:uiPriority w:val="0"/>
  </w:style>
  <w:style w:type="paragraph" w:customStyle="1" w:styleId="104">
    <w:name w:val="Guidance"/>
    <w:basedOn w:val="1"/>
    <w:uiPriority w:val="0"/>
    <w:pPr>
      <w:spacing w:after="180"/>
    </w:pPr>
    <w:rPr>
      <w:rFonts w:eastAsia="宋体"/>
      <w:i/>
      <w:color w:val="0000FF"/>
      <w:szCs w:val="20"/>
      <w:lang w:val="en-GB" w:eastAsia="en-US"/>
    </w:rPr>
  </w:style>
  <w:style w:type="character" w:customStyle="1" w:styleId="105">
    <w:name w:val="B1 (文字)"/>
    <w:locked/>
    <w:uiPriority w:val="99"/>
    <w:rPr>
      <w:rFonts w:ascii="Times New Roman" w:hAnsi="Times New Roman" w:eastAsia="Times New Roman" w:cs="Times New Roman"/>
      <w:sz w:val="20"/>
      <w:szCs w:val="20"/>
      <w:lang w:val="en-GB" w:eastAsia="en-US"/>
    </w:rPr>
  </w:style>
  <w:style w:type="character" w:customStyle="1" w:styleId="106">
    <w:name w:val="B1 Zchn"/>
    <w:locked/>
    <w:uiPriority w:val="0"/>
    <w:rPr>
      <w:rFonts w:ascii="Times New Roman" w:hAnsi="Times New Roman"/>
      <w:lang w:val="en-GB" w:eastAsia="en-US"/>
    </w:rPr>
  </w:style>
  <w:style w:type="character" w:customStyle="1" w:styleId="107">
    <w:name w:val="msoins"/>
    <w:basedOn w:val="11"/>
    <w:uiPriority w:val="0"/>
  </w:style>
  <w:style w:type="character" w:customStyle="1" w:styleId="108">
    <w:name w:val="B1 Char"/>
    <w:uiPriority w:val="0"/>
    <w:rPr>
      <w:lang w:val="en-GB" w:eastAsia="en-US"/>
    </w:rPr>
  </w:style>
  <w:style w:type="character" w:customStyle="1" w:styleId="109">
    <w:name w:val="PL Char"/>
    <w:link w:val="82"/>
    <w:qFormat/>
    <w:uiPriority w:val="0"/>
    <w:rPr>
      <w:rFonts w:ascii="Courier New" w:hAnsi="Courier New" w:eastAsia="宋体" w:cs="Times New Roman"/>
      <w:sz w:val="16"/>
      <w:szCs w:val="20"/>
      <w:lang w:val="en-GB" w:eastAsia="en-US"/>
    </w:rPr>
  </w:style>
  <w:style w:type="paragraph" w:customStyle="1" w:styleId="110">
    <w:name w:val="CR Cover Page"/>
    <w:link w:val="111"/>
    <w:uiPriority w:val="0"/>
    <w:pPr>
      <w:spacing w:after="120"/>
    </w:pPr>
    <w:rPr>
      <w:rFonts w:ascii="Arial" w:hAnsi="Arial" w:cs="Times New Roman" w:eastAsiaTheme="minorEastAsia"/>
      <w:lang w:val="en-GB" w:eastAsia="en-US" w:bidi="ar-SA"/>
    </w:rPr>
  </w:style>
  <w:style w:type="character" w:customStyle="1" w:styleId="111">
    <w:name w:val="CR Cover Page Zchn"/>
    <w:link w:val="110"/>
    <w:uiPriority w:val="0"/>
    <w:rPr>
      <w:rFonts w:ascii="Arial" w:hAnsi="Arial" w:cs="Times New Roman"/>
      <w:sz w:val="20"/>
      <w:szCs w:val="20"/>
      <w:lang w:val="en-GB" w:eastAsia="en-US"/>
    </w:rPr>
  </w:style>
  <w:style w:type="paragraph" w:customStyle="1" w:styleId="112">
    <w:name w:val="Revision1"/>
    <w:hidden/>
    <w:semiHidden/>
    <w:uiPriority w:val="99"/>
    <w:rPr>
      <w:rFonts w:ascii="Times New Roman" w:hAnsi="Times New Roman" w:eastAsia="Times New Roman" w:cs="Times New Roman"/>
      <w:sz w:val="24"/>
      <w:szCs w:val="24"/>
      <w:lang w:val="en-US" w:eastAsia="zh-CN" w:bidi="ar-SA"/>
    </w:rPr>
  </w:style>
  <w:style w:type="paragraph" w:customStyle="1" w:styleId="113">
    <w:name w:val="s3"/>
    <w:basedOn w:val="1"/>
    <w:uiPriority w:val="0"/>
    <w:pPr>
      <w:spacing w:before="100" w:beforeAutospacing="1" w:after="100" w:afterAutospacing="1"/>
    </w:pPr>
    <w:rPr>
      <w:rFonts w:ascii="宋体" w:hAnsi="宋体" w:eastAsia="宋体" w:cs="宋体"/>
    </w:rPr>
  </w:style>
  <w:style w:type="character" w:customStyle="1" w:styleId="114">
    <w:name w:val="s2"/>
    <w:basedOn w:val="11"/>
    <w:uiPriority w:val="0"/>
  </w:style>
  <w:style w:type="paragraph" w:customStyle="1" w:styleId="115">
    <w:name w:val="s6"/>
    <w:basedOn w:val="1"/>
    <w:uiPriority w:val="0"/>
    <w:pPr>
      <w:spacing w:before="100" w:beforeAutospacing="1" w:after="100" w:afterAutospacing="1"/>
    </w:pPr>
    <w:rPr>
      <w:rFonts w:ascii="宋体" w:hAnsi="宋体" w:eastAsia="宋体" w:cs="宋体"/>
    </w:rPr>
  </w:style>
  <w:style w:type="character" w:customStyle="1" w:styleId="116">
    <w:name w:val="s4"/>
    <w:basedOn w:val="11"/>
    <w:uiPriority w:val="0"/>
  </w:style>
  <w:style w:type="character" w:customStyle="1" w:styleId="117">
    <w:name w:val="s5"/>
    <w:basedOn w:val="11"/>
    <w:uiPriority w:val="0"/>
  </w:style>
  <w:style w:type="character" w:customStyle="1" w:styleId="118">
    <w:name w:val="s1"/>
    <w:uiPriority w:val="0"/>
    <w:rPr>
      <w:rFonts w:ascii="Lucida Grande" w:hAnsi="Lucida Grande" w:eastAsia="Lucida Grande" w:cs="Lucida Grande"/>
      <w:color w:val="1964B4"/>
      <w:sz w:val="72"/>
      <w:szCs w:val="72"/>
    </w:rPr>
  </w:style>
  <w:style w:type="character" w:customStyle="1" w:styleId="119">
    <w:name w:val="normaltextrun"/>
    <w:basedOn w:val="11"/>
    <w:qFormat/>
    <w:uiPriority w:val="0"/>
  </w:style>
  <w:style w:type="paragraph" w:customStyle="1" w:styleId="120">
    <w:name w:val="Doc-text2"/>
    <w:basedOn w:val="1"/>
    <w:qFormat/>
    <w:uiPriority w:val="0"/>
    <w:pPr>
      <w:tabs>
        <w:tab w:val="left" w:pos="1622"/>
      </w:tabs>
      <w:ind w:left="1622" w:hanging="363"/>
    </w:pPr>
    <w:rPr>
      <w:rFonts w:ascii="Arial" w:hAnsi="Arial" w:eastAsia="MS Mincho"/>
      <w:lang w:eastAsia="en-GB"/>
    </w:rPr>
  </w:style>
  <w:style w:type="paragraph" w:customStyle="1" w:styleId="121">
    <w:name w:val="Revision"/>
    <w:hidden/>
    <w:unhideWhenUsed/>
    <w:uiPriority w:val="99"/>
    <w:rPr>
      <w:rFonts w:ascii="Times New Roman" w:hAnsi="Times New Roman" w:eastAsia="Times New Roman" w:cs="Times New Roman"/>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2631</Words>
  <Characters>15003</Characters>
  <Lines>125</Lines>
  <Paragraphs>35</Paragraphs>
  <TotalTime>0</TotalTime>
  <ScaleCrop>false</ScaleCrop>
  <LinksUpToDate>false</LinksUpToDate>
  <CharactersWithSpaces>17599</CharactersWithSpaces>
  <Application>WPS Office_6.2.0.8299_F1E327BC-269C-435d-A152-05C5408002CA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2023-11-04T05:44:00Z</dcterms:created>
  <dc:creator>Sigen Ye</dc:creator>
  <cp:lastModifiedBy>Dan Wu</cp:lastModifiedBy>
  <cp:lastPrinted>2019-11-14T16:46:00Z</cp:lastPrinted>
  <dcterms:modified xsi:type="dcterms:W3CDTF">2023-11-03T16:20:46Z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1033-6.2.0.8299</vt:lpwstr>
  </property>
  <property fmtid="{D5CDD505-2E9C-101B-9397-08002B2CF9AE}" pid="3" name="ICV">
    <vt:lpwstr>E851979327D4BB1AC0AA4465A0EF40FC_43</vt:lpwstr>
  </property>
</Properties>
</file>